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upper-gascoyne-profile"/>
    <w:p>
      <w:pPr>
        <w:pStyle w:val="Heading1"/>
      </w:pPr>
      <w:r>
        <w:t xml:space="preserve">Upper Gascoyne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57,810 sqkm          </w:t>
      </w:r>
      <w:r>
        <w:rPr>
          <w:bCs/>
          <w:b/>
        </w:rPr>
        <w:t xml:space="preserve">Population:</w:t>
      </w:r>
      <w:r>
        <w:t xml:space="preserve"> </w:t>
      </w:r>
      <w:r>
        <w:t xml:space="preserve">201          </w:t>
      </w:r>
      <w:r>
        <w:rPr>
          <w:bCs/>
          <w:b/>
        </w:rPr>
        <w:t xml:space="preserve">Major Town:</w:t>
      </w:r>
      <w:r>
        <w:t xml:space="preserve"> </w:t>
      </w:r>
      <w:r>
        <w:t xml:space="preserve">Gascoyne River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Upper Gascoyne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$49,460          </w:t>
      </w:r>
      <w:r>
        <w:rPr>
          <w:bCs/>
          <w:b/>
        </w:rPr>
        <w:t xml:space="preserve">Gross Regional Product:</w:t>
      </w:r>
      <w:r>
        <w:t xml:space="preserve"> </w:t>
      </w:r>
      <w:r>
        <w:t xml:space="preserve">$16 Million          </w:t>
      </w:r>
      <w:r>
        <w:rPr>
          <w:bCs/>
          <w:b/>
        </w:rPr>
        <w:t xml:space="preserve">Employed Residents:</w:t>
      </w:r>
      <w:r>
        <w:t xml:space="preserve"> </w:t>
      </w:r>
      <w:r>
        <w:t xml:space="preserve">60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57.645270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15.513461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11.976153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5.955045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3.693150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1175 - Storms and Associated Flooding in the Pilbara and Midwest-Gascoyne Regions (10 December -17 December 2024)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Drone Monitoring of at-Risk Coastal Areas using Aboriginal Drone Operators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capture the intra-annual changes of the coastal terrain at the beach level to establish an effective risk management strategy that encompasses planning, development, and mitigation of extreme events along the coast. It will enable better decision-making and proactive measures to reduce the impact of coastal hazards.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125,690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293,690</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Digital Fire Danger Rating Signage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increase awareness and educate communities about potential fire danger by installing digital fire danger rating signs.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30,600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60,600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2026-02-01T23:59:02Z</dcterms:created>
  <dcterms:modified xsi:type="dcterms:W3CDTF">2026-02-01T23:59:02Z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