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49" w:name="king-island-profile"/>
    <w:p>
      <w:pPr>
        <w:pStyle w:val="Heading1"/>
      </w:pPr>
      <w:r>
        <w:t xml:space="preserve">King Island Profile</w:t>
      </w:r>
    </w:p>
    <w:p>
      <w:pPr>
        <w:pStyle w:val="FirstParagraph"/>
      </w:pPr>
      <w:r>
        <w:t xml:space="preserve">Report generated on 02 January 2025.</w:t>
      </w:r>
    </w:p>
    <w:bookmarkStart w:id="20" w:name="overview"/>
    <w:p>
      <w:pPr>
        <w:pStyle w:val="Heading2"/>
      </w:pPr>
      <w:r>
        <w:t xml:space="preserve">Overview</w:t>
      </w:r>
    </w:p>
    <w:p>
      <w:pPr>
        <w:pStyle w:val="FirstParagraph"/>
      </w:pPr>
      <w:r>
        <w:rPr>
          <w:bCs/>
          <w:b/>
        </w:rPr>
        <w:t xml:space="preserve">Total Area:</w:t>
      </w:r>
      <w:r>
        <w:t xml:space="preserve"> </w:t>
      </w:r>
      <w:r>
        <w:t xml:space="preserve">1,096 sqkm          </w:t>
      </w:r>
      <w:r>
        <w:rPr>
          <w:bCs/>
          <w:b/>
        </w:rPr>
        <w:t xml:space="preserve">Population:</w:t>
      </w:r>
      <w:r>
        <w:t xml:space="preserve"> </w:t>
      </w:r>
      <w:r>
        <w:t xml:space="preserve">1,677          </w:t>
      </w:r>
      <w:r>
        <w:rPr>
          <w:bCs/>
          <w:b/>
        </w:rPr>
        <w:t xml:space="preserve">Major Town:</w:t>
      </w:r>
      <w:r>
        <w:t xml:space="preserve"> </w:t>
      </w:r>
      <w:r>
        <w:t xml:space="preserve">Currie</w:t>
      </w:r>
    </w:p>
    <w:bookmarkEnd w:id="20"/>
    <w:bookmarkStart w:id="22" w:name="demographics"/>
    <w:p>
      <w:pPr>
        <w:pStyle w:val="Heading2"/>
      </w:pPr>
      <w:r>
        <w:t xml:space="preserve">Demographics</w:t>
      </w:r>
    </w:p>
    <w:tbl xmlns:w="http://schemas.openxmlformats.org/wordprocessingml/2006/main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pic="http://schemas.openxmlformats.org/drawingml/2006/picture">
      <w:tblPr>
        <w:tblLayout w:type="fixed"/>
        <w:jc w:val="start"/>
        <w:tblLook w:firstRow="1" w:lastRow="0" w:firstColumn="0" w:lastColumn="0" w:noHBand="0" w:noVBand="1"/>
      </w:tblPr>
      <w:tblGrid>
        <w:gridCol w:w="3478"/>
        <w:gridCol w:w="3478"/>
        <w:gridCol w:w="3478"/>
      </w:tblGrid>
      <w:tr>
        <w:trPr>
          <w:trHeight w:val="360" w:hRule="auto"/>
          <w:tblHeader/>
        </w:trPr>
        header1
        <w:tc>
          <w:tcPr>
            <w:tcBorders>
              <w:bottom w:val="single" w:sz="12" w:space="0" w:color="666666"/>
              <w:top w:val="single" w:sz="12" w:space="0" w:color="666666"/>
              <w:left w:val="none" w:sz="0" w:space="0" w:color="000000"/>
              <w:right w:val="none" w:sz="0" w:space="0" w:color="000000"/>
            </w:tcBorders>
            <w:shd w:val="clear" w:color="auto" w:fill="F0F0F0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i w:val="false"/>
                <w:b w:val="true"/>
                <w:u w:val="none"/>
                <w:sz w:val="20"/>
                <w:szCs w:val="20"/>
                <w:color w:val="000000"/>
              </w:rPr>
              <w:t xml:space="preserve">Median Age</w:t>
            </w:r>
          </w:p>
        </w:tc>
        <w:tc>
          <w:tcPr>
            <w:tcBorders>
              <w:bottom w:val="single" w:sz="12" w:space="0" w:color="666666"/>
              <w:top w:val="single" w:sz="12" w:space="0" w:color="666666"/>
              <w:left w:val="none" w:sz="0" w:space="0" w:color="000000"/>
              <w:right w:val="none" w:sz="0" w:space="0" w:color="000000"/>
            </w:tcBorders>
            <w:shd w:val="clear" w:color="auto" w:fill="F0F0F0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i w:val="false"/>
                <w:b w:val="true"/>
                <w:u w:val="none"/>
                <w:sz w:val="20"/>
                <w:szCs w:val="20"/>
                <w:color w:val="000000"/>
              </w:rPr>
              <w:t xml:space="preserve">Labour Force Median Age</w:t>
            </w:r>
          </w:p>
        </w:tc>
        <w:tc>
          <w:tcPr>
            <w:tcBorders>
              <w:bottom w:val="single" w:sz="12" w:space="0" w:color="666666"/>
              <w:top w:val="single" w:sz="12" w:space="0" w:color="666666"/>
              <w:left w:val="none" w:sz="0" w:space="0" w:color="000000"/>
              <w:right w:val="none" w:sz="0" w:space="0" w:color="000000"/>
            </w:tcBorders>
            <w:shd w:val="clear" w:color="auto" w:fill="F0F0F0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i w:val="false"/>
                <w:b w:val="true"/>
                <w:u w:val="none"/>
                <w:sz w:val="20"/>
                <w:szCs w:val="20"/>
                <w:color w:val="000000"/>
              </w:rPr>
              <w:t xml:space="preserve">Labour Force Population</w:t>
            </w:r>
          </w:p>
        </w:tc>
      </w:tr>
      <w:tr>
        <w:trPr>
          <w:trHeight w:val="360" w:hRule="auto"/>
        </w:trPr>
        body1
        <w:tc>
          <w:tcPr>
            <w:tcBorders>
              <w:bottom w:val="single" w:sz="12" w:space="0" w:color="666666"/>
              <w:top w:val="single" w:sz="12" w:space="0" w:color="666666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i w:val="false"/>
                <w:b w:val="false"/>
                <w:u w:val="none"/>
                <w:sz w:val="20"/>
                <w:szCs w:val="20"/>
                <w:color w:val="000000"/>
              </w:rPr>
              <w:t xml:space="preserve">44</w:t>
            </w:r>
          </w:p>
        </w:tc>
        <w:tc>
          <w:tcPr>
            <w:tcBorders>
              <w:bottom w:val="single" w:sz="12" w:space="0" w:color="666666"/>
              <w:top w:val="single" w:sz="12" w:space="0" w:color="666666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i w:val="false"/>
                <w:b w:val="false"/>
                <w:u w:val="none"/>
                <w:sz w:val="20"/>
                <w:szCs w:val="20"/>
                <w:color w:val="000000"/>
              </w:rPr>
              <w:t xml:space="preserve">48</w:t>
            </w:r>
          </w:p>
        </w:tc>
        <w:tc>
          <w:tcPr>
            <w:tcBorders>
              <w:bottom w:val="single" w:sz="12" w:space="0" w:color="666666"/>
              <w:top w:val="single" w:sz="12" w:space="0" w:color="666666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i w:val="false"/>
                <w:b w:val="false"/>
                <w:u w:val="none"/>
                <w:sz w:val="20"/>
                <w:szCs w:val="20"/>
                <w:color w:val="000000"/>
              </w:rPr>
              <w:t xml:space="preserve">882</w:t>
            </w:r>
          </w:p>
        </w:tc>
      </w:tr>
    </w:tbl>
    <w:bookmarkStart w:id="21" w:name="section"/>
    <w:p>
      <w:pPr>
        <w:pStyle w:val="Heading5"/>
      </w:pPr>
    </w:p>
    <w:bookmarkEnd w:id="21"/>
    <w:bookmarkEnd w:id="22"/>
    <w:bookmarkStart w:id="24" w:name="vulnerability"/>
    <w:p>
      <w:pPr>
        <w:pStyle w:val="Heading2"/>
      </w:pPr>
      <w:r>
        <w:t xml:space="preserve">Vulnerability</w:t>
      </w:r>
    </w:p>
    <w:tbl xmlns:w="http://schemas.openxmlformats.org/wordprocessingml/2006/main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pic="http://schemas.openxmlformats.org/drawingml/2006/picture">
      <w:tblPr>
        <w:tblLayout w:type="fixed"/>
        <w:jc w:val="start"/>
        <w:tblLook w:firstRow="1" w:lastRow="0" w:firstColumn="0" w:lastColumn="0" w:noHBand="0" w:noVBand="1"/>
      </w:tblPr>
      <w:tblGrid>
        <w:gridCol w:w="3478"/>
        <w:gridCol w:w="3478"/>
        <w:gridCol w:w="3478"/>
      </w:tblGrid>
      <w:tr>
        <w:trPr>
          <w:trHeight w:val="360" w:hRule="auto"/>
          <w:tblHeader/>
        </w:trPr>
        header1
        <w:tc>
          <w:tcPr>
            <w:tcBorders>
              <w:bottom w:val="single" w:sz="12" w:space="0" w:color="666666"/>
              <w:top w:val="single" w:sz="12" w:space="0" w:color="666666"/>
              <w:left w:val="none" w:sz="0" w:space="0" w:color="000000"/>
              <w:right w:val="none" w:sz="0" w:space="0" w:color="000000"/>
            </w:tcBorders>
            <w:shd w:val="clear" w:color="auto" w:fill="F0F0F0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i w:val="false"/>
                <w:b w:val="true"/>
                <w:u w:val="none"/>
                <w:sz w:val="20"/>
                <w:szCs w:val="20"/>
                <w:color w:val="000000"/>
              </w:rPr>
              <w:t xml:space="preserve">Homelessness Population</w:t>
            </w:r>
          </w:p>
        </w:tc>
        <w:tc>
          <w:tcPr>
            <w:tcBorders>
              <w:bottom w:val="single" w:sz="12" w:space="0" w:color="666666"/>
              <w:top w:val="single" w:sz="12" w:space="0" w:color="666666"/>
              <w:left w:val="none" w:sz="0" w:space="0" w:color="000000"/>
              <w:right w:val="none" w:sz="0" w:space="0" w:color="000000"/>
            </w:tcBorders>
            <w:shd w:val="clear" w:color="auto" w:fill="F0F0F0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i w:val="false"/>
                <w:b w:val="true"/>
                <w:u w:val="none"/>
                <w:sz w:val="20"/>
                <w:szCs w:val="20"/>
                <w:color w:val="000000"/>
              </w:rPr>
              <w:t xml:space="preserve">Unemployment Rate</w:t>
            </w:r>
          </w:p>
        </w:tc>
        <w:tc>
          <w:tcPr>
            <w:tcBorders>
              <w:bottom w:val="single" w:sz="12" w:space="0" w:color="666666"/>
              <w:top w:val="single" w:sz="12" w:space="0" w:color="666666"/>
              <w:left w:val="none" w:sz="0" w:space="0" w:color="000000"/>
              <w:right w:val="none" w:sz="0" w:space="0" w:color="000000"/>
            </w:tcBorders>
            <w:shd w:val="clear" w:color="auto" w:fill="F0F0F0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i w:val="false"/>
                <w:b w:val="true"/>
                <w:u w:val="none"/>
                <w:sz w:val="20"/>
                <w:szCs w:val="20"/>
                <w:color w:val="000000"/>
              </w:rPr>
              <w:t xml:space="preserve">SEIFA - IRSD</w:t>
            </w:r>
          </w:p>
        </w:tc>
      </w:tr>
      <w:tr>
        <w:trPr>
          <w:trHeight w:val="360" w:hRule="auto"/>
        </w:trPr>
        body1
        <w:tc>
          <w:tcPr>
            <w:tcBorders>
              <w:bottom w:val="single" w:sz="12" w:space="0" w:color="666666"/>
              <w:top w:val="single" w:sz="12" w:space="0" w:color="666666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i w:val="false"/>
                <w:b w:val="false"/>
                <w:u w:val="none"/>
                <w:sz w:val="20"/>
                <w:szCs w:val="20"/>
                <w:color w:val="000000"/>
              </w:rPr>
              <w:t xml:space="preserve">0</w:t>
            </w:r>
          </w:p>
        </w:tc>
        <w:tc>
          <w:tcPr>
            <w:tcBorders>
              <w:bottom w:val="single" w:sz="12" w:space="0" w:color="666666"/>
              <w:top w:val="single" w:sz="12" w:space="0" w:color="666666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i w:val="false"/>
                <w:b w:val="false"/>
                <w:u w:val="none"/>
                <w:sz w:val="20"/>
                <w:szCs w:val="20"/>
                <w:color w:val="000000"/>
              </w:rPr>
              <w:t xml:space="preserve">1.2%</w:t>
            </w:r>
          </w:p>
        </w:tc>
        <w:tc>
          <w:tcPr>
            <w:tcBorders>
              <w:bottom w:val="single" w:sz="12" w:space="0" w:color="666666"/>
              <w:top w:val="single" w:sz="12" w:space="0" w:color="666666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i w:val="false"/>
                <w:b w:val="false"/>
                <w:u w:val="none"/>
                <w:sz w:val="20"/>
                <w:szCs w:val="20"/>
                <w:color w:val="000000"/>
              </w:rPr>
              <w:t xml:space="preserve">7</w:t>
            </w:r>
          </w:p>
        </w:tc>
      </w:tr>
    </w:tbl>
    <w:bookmarkStart w:id="23" w:name="section-1"/>
    <w:p>
      <w:pPr>
        <w:pStyle w:val="Heading5"/>
      </w:pPr>
    </w:p>
    <w:bookmarkEnd w:id="23"/>
    <w:bookmarkEnd w:id="24"/>
    <w:bookmarkStart w:id="26" w:name="X55156e1a025664e7d16d5e8342759755d41e8b3"/>
    <w:p>
      <w:pPr>
        <w:pStyle w:val="Heading2"/>
      </w:pPr>
      <w:r>
        <w:t xml:space="preserve">Support Payments LGA and State Comparison</w:t>
      </w:r>
    </w:p>
    <w:tbl xmlns:w="http://schemas.openxmlformats.org/wordprocessingml/2006/main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pic="http://schemas.openxmlformats.org/drawingml/2006/picture">
      <w:tblPr>
        <w:tblLayout w:type="fixed"/>
        <w:jc w:val="start"/>
        <w:tblLook w:firstRow="1" w:lastRow="0" w:firstColumn="0" w:lastColumn="0" w:noHBand="0" w:noVBand="1"/>
      </w:tblPr>
      <w:tblGrid>
        <w:gridCol w:w="6624"/>
        <w:gridCol w:w="2027"/>
        <w:gridCol w:w="1739"/>
      </w:tblGrid>
      <w:tr>
        <w:trPr>
          <w:trHeight w:val="360" w:hRule="auto"/>
          <w:tblHeader/>
        </w:trPr>
        header1
        <w:tc>
          <w:tcPr>
            <w:tcBorders>
              <w:bottom w:val="single" w:sz="12" w:space="0" w:color="666666"/>
              <w:top w:val="single" w:sz="12" w:space="0" w:color="666666"/>
              <w:left w:val="none" w:sz="0" w:space="0" w:color="000000"/>
              <w:right w:val="none" w:sz="0" w:space="0" w:color="000000"/>
            </w:tcBorders>
            <w:shd w:val="clear" w:color="auto" w:fill="F0F0F0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i w:val="false"/>
                <w:b w:val="true"/>
                <w:u w:val="none"/>
                <w:sz w:val="20"/>
                <w:szCs w:val="20"/>
                <w:color w:val="000000"/>
              </w:rPr>
              <w:t xml:space="preserve">Rates</w:t>
            </w:r>
          </w:p>
        </w:tc>
        <w:tc>
          <w:tcPr>
            <w:tcBorders>
              <w:bottom w:val="single" w:sz="12" w:space="0" w:color="666666"/>
              <w:top w:val="single" w:sz="12" w:space="0" w:color="666666"/>
              <w:left w:val="none" w:sz="0" w:space="0" w:color="000000"/>
              <w:right w:val="none" w:sz="0" w:space="0" w:color="000000"/>
            </w:tcBorders>
            <w:shd w:val="clear" w:color="auto" w:fill="F0F0F0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i w:val="false"/>
                <w:b w:val="true"/>
                <w:u w:val="none"/>
                <w:sz w:val="20"/>
                <w:szCs w:val="20"/>
                <w:color w:val="000000"/>
              </w:rPr>
              <w:t xml:space="preserve">King Island</w:t>
            </w:r>
          </w:p>
        </w:tc>
        <w:tc>
          <w:tcPr>
            <w:tcBorders>
              <w:bottom w:val="single" w:sz="12" w:space="0" w:color="666666"/>
              <w:top w:val="single" w:sz="12" w:space="0" w:color="666666"/>
              <w:left w:val="none" w:sz="0" w:space="0" w:color="000000"/>
              <w:right w:val="none" w:sz="0" w:space="0" w:color="000000"/>
            </w:tcBorders>
            <w:shd w:val="clear" w:color="auto" w:fill="F0F0F0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i w:val="false"/>
                <w:b w:val="true"/>
                <w:u w:val="none"/>
                <w:sz w:val="20"/>
                <w:szCs w:val="20"/>
                <w:color w:val="000000"/>
              </w:rPr>
              <w:t xml:space="preserve">Tasmania</w:t>
            </w:r>
          </w:p>
        </w:tc>
      </w:tr>
      <w:tr>
        <w:trPr>
          <w:trHeight w:val="360" w:hRule="auto"/>
        </w:trPr>
        body1
        <w:tc>
          <w:tcPr>
            <w:tcBorders>
              <w:bottom w:val="none" w:sz="0" w:space="0" w:color="000000"/>
              <w:top w:val="single" w:sz="12" w:space="0" w:color="666666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i w:val="false"/>
                <w:b w:val="false"/>
                <w:u w:val="none"/>
                <w:sz w:val="20"/>
                <w:szCs w:val="20"/>
                <w:color w:val="000000"/>
              </w:rPr>
              <w:t xml:space="preserve">Age Pension</w:t>
            </w:r>
          </w:p>
        </w:tc>
        <w:tc>
          <w:tcPr>
            <w:tcBorders>
              <w:bottom w:val="none" w:sz="0" w:space="0" w:color="000000"/>
              <w:top w:val="single" w:sz="12" w:space="0" w:color="666666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i w:val="false"/>
                <w:b w:val="false"/>
                <w:u w:val="none"/>
                <w:sz w:val="20"/>
                <w:szCs w:val="20"/>
                <w:color w:val="000000"/>
              </w:rPr>
              <w:t xml:space="preserve">195</w:t>
            </w:r>
          </w:p>
        </w:tc>
        <w:tc>
          <w:tcPr>
            <w:tcBorders>
              <w:bottom w:val="none" w:sz="0" w:space="0" w:color="000000"/>
              <w:top w:val="single" w:sz="12" w:space="0" w:color="666666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i w:val="false"/>
                <w:b w:val="false"/>
                <w:u w:val="none"/>
                <w:sz w:val="20"/>
                <w:szCs w:val="20"/>
                <w:color w:val="000000"/>
              </w:rPr>
              <w:t xml:space="preserve">73,340</w:t>
            </w:r>
          </w:p>
        </w:tc>
      </w:tr>
      <w:tr>
        <w:trPr>
          <w:trHeight w:val="360" w:hRule="auto"/>
        </w:trPr>
        body2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i w:val="false"/>
                <w:b w:val="false"/>
                <w:u w:val="none"/>
                <w:sz w:val="20"/>
                <w:szCs w:val="20"/>
                <w:color w:val="000000"/>
              </w:rPr>
              <w:t xml:space="preserve">Commonwealth Rent Assistance</w:t>
            </w:r>
          </w:p>
        </w:tc>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i w:val="false"/>
                <w:b w:val="false"/>
                <w:u w:val="none"/>
                <w:sz w:val="20"/>
                <w:szCs w:val="20"/>
                <w:color w:val="000000"/>
              </w:rPr>
              <w:t xml:space="preserve">50</w:t>
            </w:r>
          </w:p>
        </w:tc>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i w:val="false"/>
                <w:b w:val="false"/>
                <w:u w:val="none"/>
                <w:sz w:val="20"/>
                <w:szCs w:val="20"/>
                <w:color w:val="000000"/>
              </w:rPr>
              <w:t xml:space="preserve">38,275</w:t>
            </w:r>
          </w:p>
        </w:tc>
      </w:tr>
      <w:tr>
        <w:trPr>
          <w:trHeight w:val="360" w:hRule="auto"/>
        </w:trPr>
        body3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i w:val="false"/>
                <w:b w:val="false"/>
                <w:u w:val="none"/>
                <w:sz w:val="20"/>
                <w:szCs w:val="20"/>
                <w:color w:val="000000"/>
              </w:rPr>
              <w:t xml:space="preserve">Disability Support Pension</w:t>
            </w:r>
          </w:p>
        </w:tc>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i w:val="false"/>
                <w:b w:val="false"/>
                <w:u w:val="none"/>
                <w:sz w:val="20"/>
                <w:szCs w:val="20"/>
                <w:color w:val="000000"/>
              </w:rPr>
              <w:t xml:space="preserve">30</w:t>
            </w:r>
          </w:p>
        </w:tc>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i w:val="false"/>
                <w:b w:val="false"/>
                <w:u w:val="none"/>
                <w:sz w:val="20"/>
                <w:szCs w:val="20"/>
                <w:color w:val="000000"/>
              </w:rPr>
              <w:t xml:space="preserve">28,735</w:t>
            </w:r>
          </w:p>
        </w:tc>
      </w:tr>
      <w:tr>
        <w:trPr>
          <w:trHeight w:val="360" w:hRule="auto"/>
        </w:trPr>
        body4
        <w:tc>
          <w:tcPr>
            <w:tcBorders>
              <w:bottom w:val="single" w:sz="12" w:space="0" w:color="666666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i w:val="false"/>
                <w:b w:val="false"/>
                <w:u w:val="none"/>
                <w:sz w:val="20"/>
                <w:szCs w:val="20"/>
                <w:color w:val="000000"/>
              </w:rPr>
              <w:t xml:space="preserve">Carer Allowance</w:t>
            </w:r>
          </w:p>
        </w:tc>
        <w:tc>
          <w:tcPr>
            <w:tcBorders>
              <w:bottom w:val="single" w:sz="12" w:space="0" w:color="666666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i w:val="false"/>
                <w:b w:val="false"/>
                <w:u w:val="none"/>
                <w:sz w:val="20"/>
                <w:szCs w:val="20"/>
                <w:color w:val="000000"/>
              </w:rPr>
              <w:t xml:space="preserve">15</w:t>
            </w:r>
          </w:p>
        </w:tc>
        <w:tc>
          <w:tcPr>
            <w:tcBorders>
              <w:bottom w:val="single" w:sz="12" w:space="0" w:color="666666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i w:val="false"/>
                <w:b w:val="false"/>
                <w:u w:val="none"/>
                <w:sz w:val="20"/>
                <w:szCs w:val="20"/>
                <w:color w:val="000000"/>
              </w:rPr>
              <w:t xml:space="preserve">17,835</w:t>
            </w:r>
          </w:p>
        </w:tc>
      </w:tr>
    </w:tbl>
    <w:bookmarkStart w:id="25" w:name="section-2"/>
    <w:p>
      <w:pPr>
        <w:pStyle w:val="Heading5"/>
      </w:pPr>
    </w:p>
    <w:bookmarkEnd w:id="25"/>
    <w:bookmarkEnd w:id="26"/>
    <w:bookmarkStart w:id="28" w:name="economy"/>
    <w:p>
      <w:pPr>
        <w:pStyle w:val="Heading2"/>
      </w:pPr>
      <w:r>
        <w:t xml:space="preserve">Economy</w:t>
      </w:r>
    </w:p>
    <w:p>
      <w:pPr>
        <w:pStyle w:val="FirstParagraph"/>
      </w:pPr>
      <w:r>
        <w:rPr>
          <w:bCs/>
          <w:b/>
        </w:rPr>
        <w:t xml:space="preserve">Median Income:</w:t>
      </w:r>
      <w:r>
        <w:t xml:space="preserve"> </w:t>
      </w:r>
      <w:r>
        <w:t xml:space="preserve">$45,700          </w:t>
      </w:r>
      <w:r>
        <w:rPr>
          <w:bCs/>
          <w:b/>
        </w:rPr>
        <w:t xml:space="preserve">Gross Regional Product:</w:t>
      </w:r>
      <w:r>
        <w:t xml:space="preserve"> </w:t>
      </w:r>
      <w:r>
        <w:t xml:space="preserve">$165 Million          </w:t>
      </w:r>
      <w:r>
        <w:rPr>
          <w:bCs/>
          <w:b/>
        </w:rPr>
        <w:t xml:space="preserve">Employed Residents:</w:t>
      </w:r>
      <w:r>
        <w:t xml:space="preserve"> </w:t>
      </w:r>
      <w:r>
        <w:t xml:space="preserve">938</w:t>
      </w:r>
    </w:p>
    <w:tbl xmlns:w="http://schemas.openxmlformats.org/wordprocessingml/2006/main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pic="http://schemas.openxmlformats.org/drawingml/2006/picture">
      <w:tblPr>
        <w:tblLayout w:type="fixed"/>
        <w:jc w:val="start"/>
        <w:tblLook w:firstRow="1" w:lastRow="0" w:firstColumn="0" w:lastColumn="0" w:noHBand="0" w:noVBand="1"/>
      </w:tblPr>
      <w:tblGrid>
        <w:gridCol w:w="3478"/>
        <w:gridCol w:w="1739"/>
        <w:gridCol w:w="3478"/>
        <w:gridCol w:w="1739"/>
      </w:tblGrid>
      <w:tr>
        <w:trPr>
          <w:trHeight w:val="360" w:hRule="auto"/>
          <w:tblHeader/>
        </w:trPr>
        header1
        <w:tc>
          <w:tcPr>
            <w:tcBorders>
              <w:bottom w:val="single" w:sz="12" w:space="0" w:color="666666"/>
              <w:top w:val="single" w:sz="12" w:space="0" w:color="666666"/>
              <w:left w:val="none" w:sz="0" w:space="0" w:color="000000"/>
              <w:right w:val="none" w:sz="0" w:space="0" w:color="000000"/>
            </w:tcBorders>
            <w:shd w:val="clear" w:color="auto" w:fill="F0F0F0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i w:val="false"/>
                <w:b w:val="true"/>
                <w:u w:val="none"/>
                <w:sz w:val="20"/>
                <w:szCs w:val="20"/>
                <w:color w:val="000000"/>
              </w:rPr>
              <w:t xml:space="preserve">Ranked Industries With Most Value</w:t>
            </w:r>
          </w:p>
        </w:tc>
        <w:tc>
          <w:tcPr>
            <w:tcBorders>
              <w:bottom w:val="single" w:sz="12" w:space="0" w:color="666666"/>
              <w:top w:val="single" w:sz="12" w:space="0" w:color="666666"/>
              <w:left w:val="none" w:sz="0" w:space="0" w:color="000000"/>
              <w:right w:val="none" w:sz="0" w:space="0" w:color="000000"/>
            </w:tcBorders>
            <w:shd w:val="clear" w:color="auto" w:fill="F0F0F0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i w:val="false"/>
                <w:b w:val="true"/>
                <w:u w:val="none"/>
                <w:sz w:val="20"/>
                <w:szCs w:val="20"/>
                <w:color w:val="000000"/>
              </w:rPr>
              <w:t xml:space="preserve">Value ($Million)</w:t>
            </w:r>
          </w:p>
        </w:tc>
        <w:tc>
          <w:tcPr>
            <w:tcBorders>
              <w:bottom w:val="single" w:sz="12" w:space="0" w:color="666666"/>
              <w:top w:val="single" w:sz="12" w:space="0" w:color="666666"/>
              <w:left w:val="none" w:sz="0" w:space="0" w:color="000000"/>
              <w:right w:val="none" w:sz="0" w:space="0" w:color="000000"/>
            </w:tcBorders>
            <w:shd w:val="clear" w:color="auto" w:fill="F0F0F0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i w:val="false"/>
                <w:b w:val="true"/>
                <w:u w:val="none"/>
                <w:sz w:val="20"/>
                <w:szCs w:val="20"/>
                <w:color w:val="000000"/>
              </w:rPr>
              <w:t xml:space="preserve">Ranked Employing Industries</w:t>
            </w:r>
          </w:p>
        </w:tc>
        <w:tc>
          <w:tcPr>
            <w:tcBorders>
              <w:bottom w:val="single" w:sz="12" w:space="0" w:color="666666"/>
              <w:top w:val="single" w:sz="12" w:space="0" w:color="666666"/>
              <w:left w:val="none" w:sz="0" w:space="0" w:color="000000"/>
              <w:right w:val="none" w:sz="0" w:space="0" w:color="000000"/>
            </w:tcBorders>
            <w:shd w:val="clear" w:color="auto" w:fill="F0F0F0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i w:val="false"/>
                <w:b w:val="true"/>
                <w:u w:val="none"/>
                <w:sz w:val="20"/>
                <w:szCs w:val="20"/>
                <w:color w:val="000000"/>
              </w:rPr>
              <w:t xml:space="preserve">No. Employees</w:t>
            </w:r>
          </w:p>
        </w:tc>
      </w:tr>
      <w:tr>
        <w:trPr>
          <w:trHeight w:val="360" w:hRule="auto"/>
        </w:trPr>
        body1
        <w:tc>
          <w:tcPr>
            <w:tcBorders>
              <w:bottom w:val="none" w:sz="0" w:space="0" w:color="000000"/>
              <w:top w:val="single" w:sz="12" w:space="0" w:color="666666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i w:val="false"/>
                <w:b w:val="false"/>
                <w:u w:val="none"/>
                <w:sz w:val="20"/>
                <w:szCs w:val="20"/>
                <w:color w:val="000000"/>
              </w:rPr>
              <w:t xml:space="preserve">Agriculture, Forestry and Fishing</w:t>
            </w:r>
          </w:p>
        </w:tc>
        <w:tc>
          <w:tcPr>
            <w:tcBorders>
              <w:bottom w:val="none" w:sz="0" w:space="0" w:color="000000"/>
              <w:top w:val="single" w:sz="12" w:space="0" w:color="666666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i w:val="false"/>
                <w:b w:val="false"/>
                <w:u w:val="none"/>
                <w:sz w:val="20"/>
                <w:szCs w:val="20"/>
                <w:color w:val="000000"/>
              </w:rPr>
              <w:t xml:space="preserve">71</w:t>
            </w:r>
          </w:p>
        </w:tc>
        <w:tc>
          <w:tcPr>
            <w:tcBorders>
              <w:bottom w:val="none" w:sz="0" w:space="0" w:color="000000"/>
              <w:top w:val="single" w:sz="12" w:space="0" w:color="666666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i w:val="false"/>
                <w:b w:val="false"/>
                <w:u w:val="none"/>
                <w:sz w:val="20"/>
                <w:szCs w:val="20"/>
                <w:color w:val="000000"/>
              </w:rPr>
              <w:t xml:space="preserve">Agriculture, Forestry and Fishing</w:t>
            </w:r>
          </w:p>
        </w:tc>
        <w:tc>
          <w:tcPr>
            <w:tcBorders>
              <w:bottom w:val="none" w:sz="0" w:space="0" w:color="000000"/>
              <w:top w:val="single" w:sz="12" w:space="0" w:color="666666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i w:val="false"/>
                <w:b w:val="false"/>
                <w:u w:val="none"/>
                <w:sz w:val="20"/>
                <w:szCs w:val="20"/>
                <w:color w:val="000000"/>
              </w:rPr>
              <w:t xml:space="preserve">230</w:t>
            </w:r>
          </w:p>
        </w:tc>
      </w:tr>
      <w:tr>
        <w:trPr>
          <w:trHeight w:val="360" w:hRule="auto"/>
        </w:trPr>
        body2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i w:val="false"/>
                <w:b w:val="false"/>
                <w:u w:val="none"/>
                <w:sz w:val="20"/>
                <w:szCs w:val="20"/>
                <w:color w:val="000000"/>
              </w:rPr>
              <w:t xml:space="preserve">Mining</w:t>
            </w:r>
          </w:p>
        </w:tc>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i w:val="false"/>
                <w:b w:val="false"/>
                <w:u w:val="none"/>
                <w:sz w:val="20"/>
                <w:szCs w:val="20"/>
                <w:color w:val="000000"/>
              </w:rPr>
              <w:t xml:space="preserve">16</w:t>
            </w:r>
          </w:p>
        </w:tc>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i w:val="false"/>
                <w:b w:val="false"/>
                <w:u w:val="none"/>
                <w:sz w:val="20"/>
                <w:szCs w:val="20"/>
                <w:color w:val="000000"/>
              </w:rPr>
              <w:t xml:space="preserve">Manufacturing</w:t>
            </w:r>
          </w:p>
        </w:tc>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i w:val="false"/>
                <w:b w:val="false"/>
                <w:u w:val="none"/>
                <w:sz w:val="20"/>
                <w:szCs w:val="20"/>
                <w:color w:val="000000"/>
              </w:rPr>
              <w:t xml:space="preserve">82</w:t>
            </w:r>
          </w:p>
        </w:tc>
      </w:tr>
      <w:tr>
        <w:trPr>
          <w:trHeight w:val="360" w:hRule="auto"/>
        </w:trPr>
        body3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i w:val="false"/>
                <w:b w:val="false"/>
                <w:u w:val="none"/>
                <w:sz w:val="20"/>
                <w:szCs w:val="20"/>
                <w:color w:val="000000"/>
              </w:rPr>
              <w:t xml:space="preserve">Transport, Postal and Warehousing</w:t>
            </w:r>
          </w:p>
        </w:tc>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i w:val="false"/>
                <w:b w:val="false"/>
                <w:u w:val="none"/>
                <w:sz w:val="20"/>
                <w:szCs w:val="20"/>
                <w:color w:val="000000"/>
              </w:rPr>
              <w:t xml:space="preserve">13</w:t>
            </w:r>
          </w:p>
        </w:tc>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i w:val="false"/>
                <w:b w:val="false"/>
                <w:u w:val="none"/>
                <w:sz w:val="20"/>
                <w:szCs w:val="20"/>
                <w:color w:val="000000"/>
              </w:rPr>
              <w:t xml:space="preserve">Health Care and Social Assistance</w:t>
            </w:r>
          </w:p>
        </w:tc>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i w:val="false"/>
                <w:b w:val="false"/>
                <w:u w:val="none"/>
                <w:sz w:val="20"/>
                <w:szCs w:val="20"/>
                <w:color w:val="000000"/>
              </w:rPr>
              <w:t xml:space="preserve">82</w:t>
            </w:r>
          </w:p>
        </w:tc>
      </w:tr>
      <w:tr>
        <w:trPr>
          <w:trHeight w:val="360" w:hRule="auto"/>
        </w:trPr>
        body4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i w:val="false"/>
                <w:b w:val="false"/>
                <w:u w:val="none"/>
                <w:sz w:val="20"/>
                <w:szCs w:val="20"/>
                <w:color w:val="000000"/>
              </w:rPr>
              <w:t xml:space="preserve">Manufacturing</w:t>
            </w:r>
          </w:p>
        </w:tc>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i w:val="false"/>
                <w:b w:val="false"/>
                <w:u w:val="none"/>
                <w:sz w:val="20"/>
                <w:szCs w:val="20"/>
                <w:color w:val="000000"/>
              </w:rPr>
              <w:t xml:space="preserve">8</w:t>
            </w:r>
          </w:p>
        </w:tc>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i w:val="false"/>
                <w:b w:val="false"/>
                <w:u w:val="none"/>
                <w:sz w:val="20"/>
                <w:szCs w:val="20"/>
                <w:color w:val="000000"/>
              </w:rPr>
              <w:t xml:space="preserve">Mining</w:t>
            </w:r>
          </w:p>
        </w:tc>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i w:val="false"/>
                <w:b w:val="false"/>
                <w:u w:val="none"/>
                <w:sz w:val="20"/>
                <w:szCs w:val="20"/>
                <w:color w:val="000000"/>
              </w:rPr>
              <w:t xml:space="preserve">80</w:t>
            </w:r>
          </w:p>
        </w:tc>
      </w:tr>
      <w:tr>
        <w:trPr>
          <w:trHeight w:val="360" w:hRule="auto"/>
        </w:trPr>
        body5
        <w:tc>
          <w:tcPr>
            <w:tcBorders>
              <w:bottom w:val="single" w:sz="12" w:space="0" w:color="666666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i w:val="false"/>
                <w:b w:val="false"/>
                <w:u w:val="none"/>
                <w:sz w:val="20"/>
                <w:szCs w:val="20"/>
                <w:color w:val="000000"/>
              </w:rPr>
              <w:t xml:space="preserve">Electricity, Gas, Water and Waste Services</w:t>
            </w:r>
          </w:p>
        </w:tc>
        <w:tc>
          <w:tcPr>
            <w:tcBorders>
              <w:bottom w:val="single" w:sz="12" w:space="0" w:color="666666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i w:val="false"/>
                <w:b w:val="false"/>
                <w:u w:val="none"/>
                <w:sz w:val="20"/>
                <w:szCs w:val="20"/>
                <w:color w:val="000000"/>
              </w:rPr>
              <w:t xml:space="preserve">7</w:t>
            </w:r>
          </w:p>
        </w:tc>
        <w:tc>
          <w:tcPr>
            <w:tcBorders>
              <w:bottom w:val="single" w:sz="12" w:space="0" w:color="666666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i w:val="false"/>
                <w:b w:val="false"/>
                <w:u w:val="none"/>
                <w:sz w:val="20"/>
                <w:szCs w:val="20"/>
                <w:color w:val="000000"/>
              </w:rPr>
              <w:t xml:space="preserve">Transport, Postal and Warehousing</w:t>
            </w:r>
          </w:p>
        </w:tc>
        <w:tc>
          <w:tcPr>
            <w:tcBorders>
              <w:bottom w:val="single" w:sz="12" w:space="0" w:color="666666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i w:val="false"/>
                <w:b w:val="false"/>
                <w:u w:val="none"/>
                <w:sz w:val="20"/>
                <w:szCs w:val="20"/>
                <w:color w:val="000000"/>
              </w:rPr>
              <w:t xml:space="preserve">77</w:t>
            </w:r>
          </w:p>
        </w:tc>
      </w:tr>
    </w:tbl>
    <w:bookmarkStart w:id="27" w:name="section-3"/>
    <w:p>
      <w:pPr>
        <w:pStyle w:val="Heading5"/>
      </w:pPr>
    </w:p>
    <w:bookmarkEnd w:id="27"/>
    <w:bookmarkEnd w:id="28"/>
    <w:bookmarkStart w:id="30" w:name="number-of-businesses"/>
    <w:p>
      <w:pPr>
        <w:pStyle w:val="Heading2"/>
      </w:pPr>
      <w:r>
        <w:t xml:space="preserve">Number of Businesses</w:t>
      </w:r>
    </w:p>
    <w:tbl xmlns:w="http://schemas.openxmlformats.org/wordprocessingml/2006/main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pic="http://schemas.openxmlformats.org/drawingml/2006/picture">
      <w:tblPr>
        <w:tblLayout w:type="fixed"/>
        <w:jc w:val="start"/>
        <w:tblLook w:firstRow="1" w:lastRow="0" w:firstColumn="0" w:lastColumn="0" w:noHBand="0" w:noVBand="1"/>
      </w:tblPr>
      <w:tblGrid>
        <w:gridCol w:w="5216"/>
        <w:gridCol w:w="5216"/>
      </w:tblGrid>
      <w:tr>
        <w:trPr>
          <w:trHeight w:val="360" w:hRule="auto"/>
          <w:tblHeader/>
        </w:trPr>
        header1
        <w:tc>
          <w:tcPr>
            <w:tcBorders>
              <w:bottom w:val="single" w:sz="12" w:space="0" w:color="666666"/>
              <w:top w:val="single" w:sz="12" w:space="0" w:color="666666"/>
              <w:left w:val="none" w:sz="0" w:space="0" w:color="000000"/>
              <w:right w:val="none" w:sz="0" w:space="0" w:color="000000"/>
            </w:tcBorders>
            <w:shd w:val="clear" w:color="auto" w:fill="F0F0F0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i w:val="false"/>
                <w:b w:val="true"/>
                <w:u w:val="none"/>
                <w:sz w:val="20"/>
                <w:szCs w:val="20"/>
                <w:color w:val="000000"/>
              </w:rPr>
              <w:t xml:space="preserve">Small Businesses (&lt;20 employees)</w:t>
            </w:r>
          </w:p>
        </w:tc>
        <w:tc>
          <w:tcPr>
            <w:tcBorders>
              <w:bottom w:val="single" w:sz="12" w:space="0" w:color="666666"/>
              <w:top w:val="single" w:sz="12" w:space="0" w:color="666666"/>
              <w:left w:val="none" w:sz="0" w:space="0" w:color="000000"/>
              <w:right w:val="none" w:sz="0" w:space="0" w:color="000000"/>
            </w:tcBorders>
            <w:shd w:val="clear" w:color="auto" w:fill="F0F0F0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i w:val="false"/>
                <w:b w:val="true"/>
                <w:u w:val="none"/>
                <w:sz w:val="20"/>
                <w:szCs w:val="20"/>
                <w:color w:val="000000"/>
              </w:rPr>
              <w:t xml:space="preserve">Total Businesses</w:t>
            </w:r>
          </w:p>
        </w:tc>
      </w:tr>
      <w:tr>
        <w:trPr>
          <w:trHeight w:val="360" w:hRule="auto"/>
        </w:trPr>
        body1
        <w:tc>
          <w:tcPr>
            <w:tcBorders>
              <w:bottom w:val="single" w:sz="12" w:space="0" w:color="666666"/>
              <w:top w:val="single" w:sz="12" w:space="0" w:color="666666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i w:val="false"/>
                <w:b w:val="false"/>
                <w:u w:val="none"/>
                <w:sz w:val="20"/>
                <w:szCs w:val="20"/>
                <w:color w:val="000000"/>
              </w:rPr>
              <w:t xml:space="preserve">311</w:t>
            </w:r>
          </w:p>
        </w:tc>
        <w:tc>
          <w:tcPr>
            <w:tcBorders>
              <w:bottom w:val="single" w:sz="12" w:space="0" w:color="666666"/>
              <w:top w:val="single" w:sz="12" w:space="0" w:color="666666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i w:val="false"/>
                <w:b w:val="false"/>
                <w:u w:val="none"/>
                <w:sz w:val="20"/>
                <w:szCs w:val="20"/>
                <w:color w:val="000000"/>
              </w:rPr>
              <w:t xml:space="preserve">312</w:t>
            </w:r>
          </w:p>
        </w:tc>
      </w:tr>
    </w:tbl>
    <w:bookmarkStart w:id="29" w:name="section-4"/>
    <w:p>
      <w:pPr>
        <w:pStyle w:val="Heading5"/>
      </w:pPr>
    </w:p>
    <w:bookmarkEnd w:id="29"/>
    <w:bookmarkEnd w:id="30"/>
    <w:bookmarkStart w:id="48" w:name="disaster-history"/>
    <w:p>
      <w:pPr>
        <w:pStyle w:val="Heading2"/>
      </w:pPr>
      <w:r>
        <w:t xml:space="preserve">Disaster History</w:t>
      </w:r>
    </w:p>
    <w:p>
      <w:pPr>
        <w:pStyle w:val="FirstParagraph"/>
      </w:pPr>
      <w:r>
        <w:t xml:space="preserve">The following Disaster Recovery Funding Arrangements have been declared in since 01 July 2022. For a full list of declarations visit</w:t>
      </w:r>
      <w:r>
        <w:t xml:space="preserve"> </w:t>
      </w:r>
      <w:hyperlink r:id="rId31">
        <w:r>
          <w:rPr>
            <w:rStyle w:val="Hyperlink"/>
          </w:rPr>
          <w:t xml:space="preserve">Disaster Assist</w:t>
        </w:r>
      </w:hyperlink>
      <w:r>
        <w:t xml:space="preserve">.</w:t>
      </w:r>
    </w:p>
    <w:tbl xmlns:w="http://schemas.openxmlformats.org/wordprocessingml/2006/main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pic="http://schemas.openxmlformats.org/drawingml/2006/picture">
      <w:tblPr>
        <w:tblLayout w:type="fixed"/>
        <w:jc w:val="start"/>
        <w:tblLook w:firstRow="1" w:lastRow="0" w:firstColumn="0" w:lastColumn="0" w:noHBand="0" w:noVBand="1"/>
      </w:tblPr>
      <w:tblGrid>
        <w:gridCol w:w="869"/>
        <w:gridCol w:w="4928"/>
        <w:gridCol w:w="1085"/>
        <w:gridCol w:w="1085"/>
        <w:gridCol w:w="869"/>
        <w:gridCol w:w="1595"/>
      </w:tblGrid>
      <w:tr>
        <w:trPr>
          <w:trHeight w:val="360" w:hRule="auto"/>
          <w:tblHeader/>
        </w:trPr>
        header1
        <w:tc>
          <w:tcPr>
            <w:tcBorders>
              <w:bottom w:val="single" w:sz="12" w:space="0" w:color="666666"/>
              <w:top w:val="single" w:sz="12" w:space="0" w:color="666666"/>
              <w:left w:val="none" w:sz="0" w:space="0" w:color="000000"/>
              <w:right w:val="none" w:sz="0" w:space="0" w:color="000000"/>
            </w:tcBorders>
            <w:shd w:val="clear" w:color="auto" w:fill="F0F0F0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i w:val="false"/>
                <w:b w:val="true"/>
                <w:u w:val="none"/>
                <w:sz w:val="20"/>
                <w:szCs w:val="20"/>
                <w:color w:val="000000"/>
              </w:rPr>
              <w:t xml:space="preserve">AGRN</w:t>
            </w:r>
          </w:p>
        </w:tc>
        <w:tc>
          <w:tcPr>
            <w:tcBorders>
              <w:bottom w:val="single" w:sz="12" w:space="0" w:color="666666"/>
              <w:top w:val="single" w:sz="12" w:space="0" w:color="666666"/>
              <w:left w:val="none" w:sz="0" w:space="0" w:color="000000"/>
              <w:right w:val="none" w:sz="0" w:space="0" w:color="000000"/>
            </w:tcBorders>
            <w:shd w:val="clear" w:color="auto" w:fill="F0F0F0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i w:val="false"/>
                <w:b w:val="true"/>
                <w:u w:val="none"/>
                <w:sz w:val="20"/>
                <w:szCs w:val="20"/>
                <w:color w:val="000000"/>
              </w:rPr>
              <w:t xml:space="preserve">Event Name</w:t>
            </w:r>
          </w:p>
        </w:tc>
        <w:tc>
          <w:tcPr>
            <w:tcBorders>
              <w:bottom w:val="single" w:sz="12" w:space="0" w:color="666666"/>
              <w:top w:val="single" w:sz="12" w:space="0" w:color="666666"/>
              <w:left w:val="none" w:sz="0" w:space="0" w:color="000000"/>
              <w:right w:val="none" w:sz="0" w:space="0" w:color="000000"/>
            </w:tcBorders>
            <w:shd w:val="clear" w:color="auto" w:fill="F0F0F0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i w:val="false"/>
                <w:b w:val="true"/>
                <w:u w:val="none"/>
                <w:sz w:val="20"/>
                <w:szCs w:val="20"/>
                <w:color w:val="000000"/>
              </w:rPr>
              <w:t xml:space="preserve">DRFA Category</w:t>
            </w:r>
          </w:p>
        </w:tc>
        <w:tc>
          <w:tcPr>
            <w:tcBorders>
              <w:bottom w:val="single" w:sz="12" w:space="0" w:color="666666"/>
              <w:top w:val="single" w:sz="12" w:space="0" w:color="666666"/>
              <w:left w:val="none" w:sz="0" w:space="0" w:color="000000"/>
              <w:right w:val="none" w:sz="0" w:space="0" w:color="000000"/>
            </w:tcBorders>
            <w:shd w:val="clear" w:color="auto" w:fill="F0F0F0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i w:val="false"/>
                <w:b w:val="true"/>
                <w:u w:val="none"/>
                <w:sz w:val="20"/>
                <w:szCs w:val="20"/>
                <w:color w:val="000000"/>
              </w:rPr>
              <w:t xml:space="preserve">AGDRP</w:t>
            </w:r>
          </w:p>
        </w:tc>
        <w:tc>
          <w:tcPr>
            <w:tcBorders>
              <w:bottom w:val="single" w:sz="12" w:space="0" w:color="666666"/>
              <w:top w:val="single" w:sz="12" w:space="0" w:color="666666"/>
              <w:left w:val="none" w:sz="0" w:space="0" w:color="000000"/>
              <w:right w:val="none" w:sz="0" w:space="0" w:color="000000"/>
            </w:tcBorders>
            <w:shd w:val="clear" w:color="auto" w:fill="F0F0F0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i w:val="false"/>
                <w:b w:val="true"/>
                <w:u w:val="none"/>
                <w:sz w:val="20"/>
                <w:szCs w:val="20"/>
                <w:color w:val="000000"/>
              </w:rPr>
              <w:t xml:space="preserve">DRA</w:t>
            </w:r>
          </w:p>
        </w:tc>
        <w:tc>
          <w:tcPr>
            <w:tcBorders>
              <w:bottom w:val="single" w:sz="12" w:space="0" w:color="666666"/>
              <w:top w:val="single" w:sz="12" w:space="0" w:color="666666"/>
              <w:left w:val="none" w:sz="0" w:space="0" w:color="000000"/>
              <w:right w:val="none" w:sz="0" w:space="0" w:color="000000"/>
            </w:tcBorders>
            <w:shd w:val="clear" w:color="auto" w:fill="F0F0F0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i w:val="false"/>
                <w:b w:val="true"/>
                <w:u w:val="none"/>
                <w:sz w:val="20"/>
                <w:szCs w:val="20"/>
                <w:color w:val="000000"/>
              </w:rPr>
              <w:t xml:space="preserve">Hazard Type(s)</w:t>
            </w:r>
          </w:p>
        </w:tc>
      </w:tr>
      <w:tr>
        <w:trPr>
          <w:trHeight w:val="360" w:hRule="auto"/>
        </w:trPr>
        body1
        <w:tc>
          <w:tcPr>
            <w:tcBorders>
              <w:bottom w:val="single" w:sz="12" w:space="0" w:color="666666"/>
              <w:top w:val="single" w:sz="12" w:space="0" w:color="666666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i w:val="false"/>
                <w:b w:val="false"/>
                <w:u w:val="none"/>
                <w:sz w:val="20"/>
                <w:szCs w:val="20"/>
                <w:color w:val="000000"/>
              </w:rPr>
              <w:t xml:space="preserve">1144</w:t>
            </w:r>
          </w:p>
        </w:tc>
        <w:tc>
          <w:tcPr>
            <w:tcBorders>
              <w:bottom w:val="single" w:sz="12" w:space="0" w:color="666666"/>
              <w:top w:val="single" w:sz="12" w:space="0" w:color="666666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i w:val="false"/>
                <w:b w:val="false"/>
                <w:u w:val="none"/>
                <w:sz w:val="20"/>
                <w:szCs w:val="20"/>
                <w:color w:val="000000"/>
              </w:rPr>
              <w:t xml:space="preserve">AGRN 1144 - Tasmania Severe Weather Event (commencing 26 August 2024)</w:t>
            </w:r>
          </w:p>
        </w:tc>
        <w:tc>
          <w:tcPr>
            <w:tcBorders>
              <w:bottom w:val="single" w:sz="12" w:space="0" w:color="666666"/>
              <w:top w:val="single" w:sz="12" w:space="0" w:color="666666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i w:val="false"/>
                <w:b w:val="false"/>
                <w:u w:val="none"/>
                <w:sz w:val="20"/>
                <w:szCs w:val="20"/>
                <w:color w:val="000000"/>
              </w:rPr>
              <w:t xml:space="preserve">ABC</w:t>
            </w:r>
          </w:p>
        </w:tc>
        <w:tc>
          <w:tcPr>
            <w:tcBorders>
              <w:bottom w:val="single" w:sz="12" w:space="0" w:color="666666"/>
              <w:top w:val="single" w:sz="12" w:space="0" w:color="666666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i w:val="false"/>
                <w:b w:val="false"/>
                <w:u w:val="none"/>
                <w:sz w:val="20"/>
                <w:szCs w:val="20"/>
                <w:color w:val="000000"/>
              </w:rPr>
              <w:t xml:space="preserve">N</w:t>
            </w:r>
          </w:p>
        </w:tc>
        <w:tc>
          <w:tcPr>
            <w:tcBorders>
              <w:bottom w:val="single" w:sz="12" w:space="0" w:color="666666"/>
              <w:top w:val="single" w:sz="12" w:space="0" w:color="666666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i w:val="false"/>
                <w:b w:val="false"/>
                <w:u w:val="none"/>
                <w:sz w:val="20"/>
                <w:szCs w:val="20"/>
                <w:color w:val="000000"/>
              </w:rPr>
              <w:t xml:space="preserve">N</w:t>
            </w:r>
          </w:p>
        </w:tc>
        <w:tc>
          <w:tcPr>
            <w:tcBorders>
              <w:bottom w:val="single" w:sz="12" w:space="0" w:color="666666"/>
              <w:top w:val="single" w:sz="12" w:space="0" w:color="666666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i w:val="false"/>
                <w:b w:val="false"/>
                <w:u w:val="none"/>
                <w:sz w:val="20"/>
                <w:szCs w:val="20"/>
                <w:color w:val="000000"/>
              </w:rPr>
              <w:t xml:space="preserve">Flood</w:t>
            </w:r>
          </w:p>
        </w:tc>
      </w:tr>
    </w:tbl>
    <w:bookmarkStart w:id="32" w:name="section-5"/>
    <w:p>
      <w:pPr>
        <w:pStyle w:val="Heading5"/>
      </w:pPr>
    </w:p>
    <w:bookmarkEnd w:id="32"/>
    <w:bookmarkStart w:id="33" w:name="section-6"/>
    <w:p>
      <w:pPr>
        <w:pStyle w:val="Heading5"/>
      </w:pPr>
    </w:p>
    <w:bookmarkEnd w:id="33"/>
    <w:bookmarkStart w:id="34" w:name="section-7"/>
    <w:p>
      <w:pPr>
        <w:pStyle w:val="Heading5"/>
      </w:pPr>
    </w:p>
    <w:bookmarkEnd w:id="34"/>
    <w:bookmarkStart w:id="35" w:name="section-8"/>
    <w:p>
      <w:pPr>
        <w:pStyle w:val="Heading5"/>
      </w:pPr>
    </w:p>
    <w:bookmarkEnd w:id="35"/>
    <w:bookmarkStart w:id="36" w:name="section-9"/>
    <w:p>
      <w:pPr>
        <w:pStyle w:val="Heading5"/>
      </w:pPr>
    </w:p>
    <w:p>
      <w:r>
        <w:br w:type="page"/>
      </w:r>
    </w:p>
    <w:bookmarkEnd w:id="36"/>
    <w:bookmarkStart w:id="47" w:name="data-sources"/>
    <w:p>
      <w:pPr>
        <w:pStyle w:val="Heading3"/>
      </w:pPr>
      <w:r>
        <w:t xml:space="preserve">Data Sources</w:t>
      </w:r>
    </w:p>
    <w:p>
      <w:pPr>
        <w:pStyle w:val="FirstParagraph"/>
      </w:pPr>
      <w:r>
        <w:t xml:space="preserve">These profiles utilise data from a number of third-party providers, including:</w:t>
      </w:r>
    </w:p>
    <w:p>
      <w:pPr>
        <w:numPr>
          <w:ilvl w:val="0"/>
          <w:numId w:val="1001"/>
        </w:numPr>
        <w:pStyle w:val="Compact"/>
      </w:pPr>
      <w:r>
        <w:t xml:space="preserve">Services Australia</w:t>
      </w:r>
    </w:p>
    <w:p>
      <w:pPr>
        <w:numPr>
          <w:ilvl w:val="0"/>
          <w:numId w:val="1001"/>
        </w:numPr>
        <w:pStyle w:val="Compact"/>
      </w:pPr>
      <w:r>
        <w:t xml:space="preserve">State and Territory Governments</w:t>
      </w:r>
    </w:p>
    <w:p>
      <w:pPr>
        <w:numPr>
          <w:ilvl w:val="0"/>
          <w:numId w:val="1001"/>
        </w:numPr>
        <w:pStyle w:val="Compact"/>
      </w:pPr>
      <w:hyperlink r:id="rId37">
        <w:r>
          <w:rPr>
            <w:rStyle w:val="Hyperlink"/>
          </w:rPr>
          <w:t xml:space="preserve">Regional population, 2021-22 financial year | Australian Bureau of Statistics (abs.gov.au)</w:t>
        </w:r>
      </w:hyperlink>
    </w:p>
    <w:p>
      <w:pPr>
        <w:numPr>
          <w:ilvl w:val="0"/>
          <w:numId w:val="1001"/>
        </w:numPr>
        <w:pStyle w:val="Compact"/>
      </w:pPr>
      <w:hyperlink r:id="rId38">
        <w:r>
          <w:rPr>
            <w:rStyle w:val="Hyperlink"/>
          </w:rPr>
          <w:t xml:space="preserve">DSS Benefit and Payment Recipient Demographics - quarterly data | Datasets | data.gov.au - beta</w:t>
        </w:r>
      </w:hyperlink>
    </w:p>
    <w:p>
      <w:pPr>
        <w:numPr>
          <w:ilvl w:val="0"/>
          <w:numId w:val="1001"/>
        </w:numPr>
        <w:pStyle w:val="Compact"/>
      </w:pPr>
      <w:hyperlink r:id="rId39">
        <w:r>
          <w:rPr>
            <w:rStyle w:val="Hyperlink"/>
          </w:rPr>
          <w:t xml:space="preserve">Estimating Homelessness: Census, 2021 | Australian Bureau of Statistics (abs.gov.au)</w:t>
        </w:r>
      </w:hyperlink>
    </w:p>
    <w:p>
      <w:pPr>
        <w:numPr>
          <w:ilvl w:val="0"/>
          <w:numId w:val="1001"/>
        </w:numPr>
        <w:pStyle w:val="Compact"/>
      </w:pPr>
      <w:hyperlink r:id="rId40">
        <w:r>
          <w:rPr>
            <w:rStyle w:val="Hyperlink"/>
          </w:rPr>
          <w:t xml:space="preserve">Small Area Labour Markets | National Skills Commission</w:t>
        </w:r>
      </w:hyperlink>
    </w:p>
    <w:p>
      <w:pPr>
        <w:numPr>
          <w:ilvl w:val="0"/>
          <w:numId w:val="1001"/>
        </w:numPr>
        <w:pStyle w:val="Compact"/>
      </w:pPr>
      <w:hyperlink r:id="rId41">
        <w:r>
          <w:rPr>
            <w:rStyle w:val="Hyperlink"/>
          </w:rPr>
          <w:t xml:space="preserve">Socio-Economic Indexes for Areas (SEIFA), Australia, 2021 | Australian Bureau of Statistics (abs.gov.au)</w:t>
        </w:r>
      </w:hyperlink>
    </w:p>
    <w:p>
      <w:pPr>
        <w:numPr>
          <w:ilvl w:val="0"/>
          <w:numId w:val="1001"/>
        </w:numPr>
        <w:pStyle w:val="Compact"/>
      </w:pPr>
      <w:hyperlink r:id="rId42">
        <w:r>
          <w:rPr>
            <w:rStyle w:val="Hyperlink"/>
          </w:rPr>
          <w:t xml:space="preserve">EconomyID</w:t>
        </w:r>
      </w:hyperlink>
    </w:p>
    <w:p>
      <w:pPr>
        <w:numPr>
          <w:ilvl w:val="0"/>
          <w:numId w:val="1001"/>
        </w:numPr>
        <w:pStyle w:val="Compact"/>
      </w:pPr>
      <w:hyperlink r:id="rId43">
        <w:r>
          <w:rPr>
            <w:rStyle w:val="Hyperlink"/>
          </w:rPr>
          <w:t xml:space="preserve">Counts of Australian Businesses, including Entries and Exits, July 2018 - June 2022 | Australian Bureau of Statistics (abs.gov.au)</w:t>
        </w:r>
      </w:hyperlink>
    </w:p>
    <w:p>
      <w:pPr>
        <w:numPr>
          <w:ilvl w:val="0"/>
          <w:numId w:val="1001"/>
        </w:numPr>
        <w:pStyle w:val="Compact"/>
      </w:pPr>
      <w:hyperlink r:id="rId44">
        <w:r>
          <w:rPr>
            <w:rStyle w:val="Hyperlink"/>
          </w:rPr>
          <w:t xml:space="preserve">Regional population by age and sex, 2021 | Australian Bureau of Statistics (abs.gov.au)</w:t>
        </w:r>
      </w:hyperlink>
    </w:p>
    <w:p>
      <w:pPr>
        <w:numPr>
          <w:ilvl w:val="0"/>
          <w:numId w:val="1001"/>
        </w:numPr>
        <w:pStyle w:val="Compact"/>
      </w:pPr>
      <w:hyperlink r:id="rId45">
        <w:r>
          <w:rPr>
            <w:rStyle w:val="Hyperlink"/>
          </w:rPr>
          <w:t xml:space="preserve">Labour Force, Australia, Detailed, May 2023 | Australian Bureau of Statistics (abs.gov.au)</w:t>
        </w:r>
      </w:hyperlink>
    </w:p>
    <w:p>
      <w:pPr>
        <w:numPr>
          <w:ilvl w:val="0"/>
          <w:numId w:val="1001"/>
        </w:numPr>
        <w:pStyle w:val="Compact"/>
      </w:pPr>
      <w:hyperlink r:id="rId46">
        <w:r>
          <w:rPr>
            <w:rStyle w:val="Hyperlink"/>
          </w:rPr>
          <w:t xml:space="preserve">Personal Income in Australia, 2015-16 to 2019-20 | Australian Bureau of Statistics (abs.gov.au)</w:t>
        </w:r>
      </w:hyperlink>
    </w:p>
    <w:p>
      <w:pPr>
        <w:pStyle w:val="FirstParagraph"/>
      </w:pPr>
      <w:r>
        <w:t xml:space="preserve">The data is maintained by these third-party providers. While every effort has been made to ensure the accuracy of this information, no guarantee is given.</w:t>
      </w:r>
    </w:p>
    <w:bookmarkEnd w:id="47"/>
    <w:bookmarkEnd w:id="48"/>
    <w:bookmarkEnd w:id="49"/>
    <w:sectPr w:rsidR="00072A22" w:rsidRPr="00B306BE" w:rsidSect="00AE705B">
      <w:headerReference r:id="rId9" w:type="default"/>
      <w:pgSz w:h="16838" w:w="11906"/>
      <w:pgMar w:bottom="1452" w:footer="709" w:gutter="0" w:header="709" w:left="720" w:right="720" w:top="720"/>
      <w:cols w:space="708"/>
      <w:docGrid w:linePitch="36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C1A59" w:rsidRDefault="00665456" w:rsidP="005919F1">
    <w:pPr>
      <w:pStyle w:val="Header"/>
      <w:jc w:val="center"/>
    </w:pPr>
    <w:r>
      <w:rPr>
        <w:noProof/>
        <w:lang w:eastAsia="en-AU"/>
      </w:rPr>
      <w:drawing>
        <wp:anchor distT="0" distB="0" distL="114300" distR="114300" simplePos="0" relativeHeight="251659264" behindDoc="1" locked="1" layoutInCell="1" allowOverlap="0" wp14:anchorId="32E01AFA" wp14:editId="5A77BF23">
          <wp:simplePos x="0" y="0"/>
          <wp:positionH relativeFrom="page">
            <wp:align>left</wp:align>
          </wp:positionH>
          <wp:positionV relativeFrom="page">
            <wp:align>bottom</wp:align>
          </wp:positionV>
          <wp:extent cx="7588250" cy="10731500"/>
          <wp:effectExtent l="0" t="0" r="0" b="0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NEMA_ONE-PAGE-LANDSCAPE_A4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88250" cy="107315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cx="http://schemas.microsoft.com/office/drawing/2014/chartex" xmlns:cx1="http://schemas.microsoft.com/office/drawing/2015/9/8/chartex"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16se="http://schemas.microsoft.com/office/word/2015/wordml/symex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16se wp14">
  <w:abstractNum w15:restartNumberingAfterBreak="0" w:abstractNumId="0">
    <w:nsid w:val="4C1C1748"/>
    <w:multiLevelType w:val="hybridMultilevel"/>
    <w:tmpl w:val="0ECE77F6"/>
    <w:lvl w:ilvl="0" w:tplc="0C090001">
      <w:start w:val="1"/>
      <w:numFmt w:val="bullet"/>
      <w:lvlText w:val=""/>
      <w:lvlJc w:val="left"/>
      <w:pPr>
        <w:ind w:hanging="360" w:left="720"/>
      </w:pPr>
      <w:rPr>
        <w:rFonts w:ascii="Symbol" w:hAnsi="Symbol" w:hint="default"/>
      </w:rPr>
    </w:lvl>
    <w:lvl w:ilvl="1" w:tentative="1" w:tplc="0C090003">
      <w:start w:val="1"/>
      <w:numFmt w:val="bullet"/>
      <w:lvlText w:val="o"/>
      <w:lvlJc w:val="left"/>
      <w:pPr>
        <w:ind w:hanging="360" w:left="1440"/>
      </w:pPr>
      <w:rPr>
        <w:rFonts w:ascii="Courier New" w:cs="Courier New" w:hAnsi="Courier New" w:hint="default"/>
      </w:rPr>
    </w:lvl>
    <w:lvl w:ilvl="2" w:tentative="1" w:tplc="0C090005">
      <w:start w:val="1"/>
      <w:numFmt w:val="bullet"/>
      <w:lvlText w:val=""/>
      <w:lvlJc w:val="left"/>
      <w:pPr>
        <w:ind w:hanging="360" w:left="2160"/>
      </w:pPr>
      <w:rPr>
        <w:rFonts w:ascii="Wingdings" w:hAnsi="Wingdings" w:hint="default"/>
      </w:rPr>
    </w:lvl>
    <w:lvl w:ilvl="3" w:tentative="1" w:tplc="0C090001">
      <w:start w:val="1"/>
      <w:numFmt w:val="bullet"/>
      <w:lvlText w:val=""/>
      <w:lvlJc w:val="left"/>
      <w:pPr>
        <w:ind w:hanging="360" w:left="2880"/>
      </w:pPr>
      <w:rPr>
        <w:rFonts w:ascii="Symbol" w:hAnsi="Symbol" w:hint="default"/>
      </w:rPr>
    </w:lvl>
    <w:lvl w:ilvl="4" w:tentative="1" w:tplc="0C090003">
      <w:start w:val="1"/>
      <w:numFmt w:val="bullet"/>
      <w:lvlText w:val="o"/>
      <w:lvlJc w:val="left"/>
      <w:pPr>
        <w:ind w:hanging="360" w:left="3600"/>
      </w:pPr>
      <w:rPr>
        <w:rFonts w:ascii="Courier New" w:cs="Courier New" w:hAnsi="Courier New" w:hint="default"/>
      </w:rPr>
    </w:lvl>
    <w:lvl w:ilvl="5" w:tentative="1" w:tplc="0C090005">
      <w:start w:val="1"/>
      <w:numFmt w:val="bullet"/>
      <w:lvlText w:val=""/>
      <w:lvlJc w:val="left"/>
      <w:pPr>
        <w:ind w:hanging="360" w:left="4320"/>
      </w:pPr>
      <w:rPr>
        <w:rFonts w:ascii="Wingdings" w:hAnsi="Wingdings" w:hint="default"/>
      </w:rPr>
    </w:lvl>
    <w:lvl w:ilvl="6" w:tentative="1" w:tplc="0C090001">
      <w:start w:val="1"/>
      <w:numFmt w:val="bullet"/>
      <w:lvlText w:val=""/>
      <w:lvlJc w:val="left"/>
      <w:pPr>
        <w:ind w:hanging="360" w:left="5040"/>
      </w:pPr>
      <w:rPr>
        <w:rFonts w:ascii="Symbol" w:hAnsi="Symbol" w:hint="default"/>
      </w:rPr>
    </w:lvl>
    <w:lvl w:ilvl="7" w:tentative="1" w:tplc="0C090003">
      <w:start w:val="1"/>
      <w:numFmt w:val="bullet"/>
      <w:lvlText w:val="o"/>
      <w:lvlJc w:val="left"/>
      <w:pPr>
        <w:ind w:hanging="360" w:left="5760"/>
      </w:pPr>
      <w:rPr>
        <w:rFonts w:ascii="Courier New" w:cs="Courier New" w:hAnsi="Courier New" w:hint="default"/>
      </w:rPr>
    </w:lvl>
    <w:lvl w:ilvl="8" w:tentative="1" w:tplc="0C090005">
      <w:start w:val="1"/>
      <w:numFmt w:val="bullet"/>
      <w:lvlText w:val=""/>
      <w:lvlJc w:val="left"/>
      <w:pPr>
        <w:ind w:hanging="360" w:left="6480"/>
      </w:pPr>
      <w:rPr>
        <w:rFonts w:ascii="Wingdings" w:hAnsi="Wingdings" w:hint="default"/>
      </w:rPr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">
    <w:abstractNumId w:val="0"/>
  </w:num>
  <w:num w:numId="1000">
    <w:abstractNumId w:val="990"/>
  </w:num>
  <w:num w:numId="1001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embedSystemFonts/>
  <w:proofState w:grammar="clean" w:spelling="clean"/>
  <w:stylePaneFormatFilter w:val="0004"/>
  <w:footnotePr>
    <w:footnote w:id="-1"/>
    <w:footnote w:id="0"/>
  </w:footnotePr>
  <w:doNotTrackMoves/>
  <w:drawingGridHorizontalSpacing w:val="360"/>
  <w:drawingGridVerticalSpacing w:val="360"/>
  <w:displayHorizontalDrawingGridEvery w:val="0"/>
  <w:displayVerticalDrawingGridEvery w:val="0"/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1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cstheme="minorBidi" w:eastAsiaTheme="minorHAnsi" w:hAnsiTheme="minorHAnsi"/>
        <w:sz w:val="22"/>
        <w:szCs w:val="22"/>
        <w:lang w:bidi="ar-SA" w:eastAsia="en-US" w:val="en-AU"/>
      </w:rPr>
    </w:rPrDefault>
    <w:pPrDefault>
      <w:pPr>
        <w:spacing w:after="160" w:line="259" w:lineRule="auto"/>
      </w:pPr>
    </w:pPrDefault>
  </w:docDefaults>
  <w:latentStyles w:count="371" w:defLockedState="0" w:defQFormat="0" w:defSemiHidden="0" w:defUIPriority="99" w:defUnhideWhenUsed="0">
    <w:lsdException w:name="Normal" w:qFormat="1" w:uiPriority="0"/>
    <w:lsdException w:name="heading 1" w:qFormat="1" w:uiPriority="9"/>
    <w:lsdException w:name="heading 2" w:qFormat="1" w:semiHidden="1" w:uiPriority="9" w:unhideWhenUsed="1"/>
    <w:lsdException w:name="heading 3" w:qFormat="1" w:semiHidden="1" w:uiPriority="9" w:unhideWhenUsed="1"/>
    <w:lsdException w:name="heading 4" w:qFormat="1" w:semiHidden="1" w:uiPriority="9" w:unhideWhenUsed="1"/>
    <w:lsdException w:name="heading 5" w:qFormat="1" w:semiHidden="1" w:uiPriority="9" w:unhideWhenUsed="1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qFormat="1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 w:uiPriority="22"/>
    <w:lsdException w:name="Emphasis" w:qFormat="1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 w:uiPriority="34"/>
    <w:lsdException w:name="Quote" w:qFormat="1" w:uiPriority="29"/>
    <w:lsdException w:name="Intense Quote" w:qFormat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 w:uiPriority="19"/>
    <w:lsdException w:name="Intense Emphasis" w:qFormat="1" w:uiPriority="21"/>
    <w:lsdException w:name="Subtle Reference" w:qFormat="1" w:uiPriority="31"/>
    <w:lsdException w:name="Intense Reference" w:qFormat="1" w:uiPriority="32"/>
    <w:lsdException w:name="Book Title" w:qFormat="1" w:uiPriority="33"/>
    <w:lsdException w:name="Bibliography" w:semiHidden="1" w:uiPriority="37" w:unhideWhenUsed="1"/>
    <w:lsdException w:name="TOC Heading" w:qFormat="1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default="1" w:styleId="Normal" w:type="paragraph">
    <w:name w:val="Normal"/>
    <w:qFormat/>
    <w:rsid w:val="00072A22"/>
    <w:pPr>
      <w:spacing w:after="280" w:before="120" w:line="264" w:lineRule="auto"/>
    </w:pPr>
    <w:rPr>
      <w:rFonts w:ascii="Arial" w:hAnsi="Arial"/>
      <w:sz w:val="20"/>
    </w:rPr>
  </w:style>
  <w:style w:styleId="Heading1" w:type="paragraph">
    <w:name w:val="heading 1"/>
    <w:basedOn w:val="Normal"/>
    <w:next w:val="Normal"/>
    <w:link w:val="Heading1Char"/>
    <w:uiPriority w:val="9"/>
    <w:qFormat/>
    <w:rsid w:val="00072A22"/>
    <w:pPr>
      <w:keepNext/>
      <w:keepLines/>
      <w:spacing w:after="240" w:before="240"/>
      <w:outlineLvl w:val="0"/>
    </w:pPr>
    <w:rPr>
      <w:rFonts w:cs="Arial" w:eastAsia="Times New Roman"/>
      <w:b/>
      <w:sz w:val="36"/>
      <w:szCs w:val="32"/>
    </w:rPr>
  </w:style>
  <w:style w:styleId="Heading2" w:type="paragraph">
    <w:name w:val="heading 2"/>
    <w:basedOn w:val="Normal"/>
    <w:next w:val="Normal"/>
    <w:link w:val="Heading2Char"/>
    <w:uiPriority w:val="9"/>
    <w:unhideWhenUsed/>
    <w:qFormat/>
    <w:rsid w:val="00072A22"/>
    <w:pPr>
      <w:keepNext/>
      <w:keepLines/>
      <w:spacing w:after="180" w:before="40"/>
      <w:outlineLvl w:val="1"/>
    </w:pPr>
    <w:rPr>
      <w:rFonts w:cs="Arial" w:eastAsia="Times New Roman"/>
      <w:b/>
      <w:color w:val="003E5A"/>
      <w:sz w:val="28"/>
      <w:szCs w:val="26"/>
    </w:rPr>
  </w:style>
  <w:style w:styleId="Heading3" w:type="paragraph">
    <w:name w:val="heading 3"/>
    <w:basedOn w:val="IntroPara"/>
    <w:next w:val="Normal"/>
    <w:link w:val="Heading3Char"/>
    <w:uiPriority w:val="9"/>
    <w:unhideWhenUsed/>
    <w:qFormat/>
    <w:rsid w:val="00072A22"/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Header" w:type="paragraph">
    <w:name w:val="header"/>
    <w:basedOn w:val="Normal"/>
    <w:link w:val="HeaderChar"/>
    <w:uiPriority w:val="99"/>
    <w:unhideWhenUsed/>
    <w:rsid w:val="003C1A59"/>
    <w:pPr>
      <w:tabs>
        <w:tab w:pos="4513" w:val="center"/>
        <w:tab w:pos="9026" w:val="right"/>
      </w:tabs>
      <w:spacing w:after="0" w:line="240" w:lineRule="auto"/>
    </w:pPr>
  </w:style>
  <w:style w:customStyle="1" w:styleId="HeaderChar" w:type="character">
    <w:name w:val="Header Char"/>
    <w:basedOn w:val="DefaultParagraphFont"/>
    <w:link w:val="Header"/>
    <w:uiPriority w:val="99"/>
    <w:rsid w:val="003C1A59"/>
  </w:style>
  <w:style w:styleId="Footer" w:type="paragraph">
    <w:name w:val="footer"/>
    <w:basedOn w:val="Normal"/>
    <w:link w:val="FooterChar"/>
    <w:uiPriority w:val="99"/>
    <w:unhideWhenUsed/>
    <w:rsid w:val="003C1A59"/>
    <w:pPr>
      <w:tabs>
        <w:tab w:pos="4513" w:val="center"/>
        <w:tab w:pos="9026" w:val="right"/>
      </w:tabs>
      <w:spacing w:after="0" w:line="240" w:lineRule="auto"/>
    </w:pPr>
  </w:style>
  <w:style w:customStyle="1" w:styleId="FooterChar" w:type="character">
    <w:name w:val="Footer Char"/>
    <w:basedOn w:val="DefaultParagraphFont"/>
    <w:link w:val="Footer"/>
    <w:uiPriority w:val="99"/>
    <w:rsid w:val="003C1A59"/>
  </w:style>
  <w:style w:customStyle="1" w:styleId="Heading1Char" w:type="character">
    <w:name w:val="Heading 1 Char"/>
    <w:basedOn w:val="DefaultParagraphFont"/>
    <w:link w:val="Heading1"/>
    <w:uiPriority w:val="9"/>
    <w:rsid w:val="00072A22"/>
    <w:rPr>
      <w:rFonts w:ascii="Arial" w:cs="Arial" w:eastAsia="Times New Roman" w:hAnsi="Arial"/>
      <w:b/>
      <w:sz w:val="36"/>
      <w:szCs w:val="32"/>
    </w:rPr>
  </w:style>
  <w:style w:customStyle="1" w:styleId="Heading2Char" w:type="character">
    <w:name w:val="Heading 2 Char"/>
    <w:basedOn w:val="DefaultParagraphFont"/>
    <w:link w:val="Heading2"/>
    <w:uiPriority w:val="9"/>
    <w:rsid w:val="00072A22"/>
    <w:rPr>
      <w:rFonts w:ascii="Arial" w:cs="Arial" w:eastAsia="Times New Roman" w:hAnsi="Arial"/>
      <w:b/>
      <w:color w:val="003E5A"/>
      <w:sz w:val="28"/>
      <w:szCs w:val="26"/>
    </w:rPr>
  </w:style>
  <w:style w:customStyle="1" w:styleId="Heading3Char" w:type="character">
    <w:name w:val="Heading 3 Char"/>
    <w:basedOn w:val="DefaultParagraphFont"/>
    <w:link w:val="Heading3"/>
    <w:uiPriority w:val="9"/>
    <w:rsid w:val="00072A22"/>
    <w:rPr>
      <w:rFonts w:ascii="Arial" w:cs="Arial" w:eastAsia="Century Gothic" w:hAnsi="Arial"/>
      <w:b/>
      <w:color w:val="232E3F"/>
    </w:rPr>
  </w:style>
  <w:style w:customStyle="1" w:styleId="IntroPara" w:type="paragraph">
    <w:name w:val="Intro Para"/>
    <w:basedOn w:val="Normal"/>
    <w:qFormat/>
    <w:rsid w:val="00072A22"/>
    <w:pPr>
      <w:outlineLvl w:val="2"/>
    </w:pPr>
    <w:rPr>
      <w:rFonts w:cs="Arial" w:eastAsia="Century Gothic"/>
      <w:b/>
      <w:color w:val="232E3F"/>
      <w:sz w:val="22"/>
    </w:rPr>
  </w:style>
  <w:style w:styleId="ListParagraph" w:type="paragraph">
    <w:name w:val="List Paragraph"/>
    <w:basedOn w:val="Normal"/>
    <w:uiPriority w:val="34"/>
    <w:qFormat/>
    <w:rsid w:val="00B306BE"/>
    <w:pPr>
      <w:ind w:firstLine="284" w:left="284"/>
    </w:pPr>
  </w:style>
  <w:style w:customStyle="1" w:styleId="Style1" w:type="paragraph">
    <w:name w:val="Style1"/>
    <w:basedOn w:val="Heading1"/>
    <w:link w:val="Style1Char"/>
    <w:autoRedefine/>
    <w:qFormat/>
    <w:rsid w:val="00072A22"/>
  </w:style>
  <w:style w:customStyle="1" w:styleId="Style2" w:type="paragraph">
    <w:name w:val="Style2"/>
    <w:basedOn w:val="Heading2"/>
    <w:link w:val="Style2Char"/>
    <w:autoRedefine/>
    <w:qFormat/>
    <w:rsid w:val="00072A22"/>
  </w:style>
  <w:style w:customStyle="1" w:styleId="Style1Char" w:type="character">
    <w:name w:val="Style1 Char"/>
    <w:basedOn w:val="Heading1Char"/>
    <w:link w:val="Style1"/>
    <w:rsid w:val="00072A22"/>
    <w:rPr>
      <w:rFonts w:ascii="Arial" w:cs="Arial" w:eastAsia="Times New Roman" w:hAnsi="Arial"/>
      <w:b/>
      <w:sz w:val="36"/>
      <w:szCs w:val="32"/>
    </w:rPr>
  </w:style>
  <w:style w:customStyle="1" w:styleId="Style3" w:type="paragraph">
    <w:name w:val="Style3"/>
    <w:basedOn w:val="Heading3"/>
    <w:link w:val="Style3Char"/>
    <w:autoRedefine/>
    <w:qFormat/>
    <w:rsid w:val="00B306BE"/>
    <w:rPr>
      <w:color w:val="007816"/>
    </w:rPr>
  </w:style>
  <w:style w:customStyle="1" w:styleId="Style2Char" w:type="character">
    <w:name w:val="Style2 Char"/>
    <w:basedOn w:val="Heading2Char"/>
    <w:link w:val="Style2"/>
    <w:rsid w:val="00072A22"/>
    <w:rPr>
      <w:rFonts w:ascii="Arial" w:cs="Arial" w:eastAsia="Times New Roman" w:hAnsi="Arial"/>
      <w:b/>
      <w:color w:val="003E5A"/>
      <w:sz w:val="28"/>
      <w:szCs w:val="26"/>
    </w:rPr>
  </w:style>
  <w:style w:customStyle="1" w:styleId="Style3Char" w:type="character">
    <w:name w:val="Style3 Char"/>
    <w:basedOn w:val="Heading3Char"/>
    <w:link w:val="Style3"/>
    <w:rsid w:val="00B306BE"/>
    <w:rPr>
      <w:rFonts w:ascii="Arial" w:cs="Arial" w:eastAsiaTheme="majorEastAsia" w:hAnsi="Arial"/>
      <w:b/>
      <w:color w:val="007816"/>
      <w:sz w:val="24"/>
      <w:szCs w:val="24"/>
    </w:rPr>
  </w:style>
  <w:style w:customStyle="1" w:styleId="CLASSIFICATION" w:type="paragraph">
    <w:name w:val="CLASSIFICATION"/>
    <w:basedOn w:val="Normal"/>
    <w:link w:val="CLASSIFICATIONChar"/>
    <w:autoRedefine/>
    <w:uiPriority w:val="99"/>
    <w:unhideWhenUsed/>
    <w:rsid w:val="005919F1"/>
    <w:pPr>
      <w:jc w:val="center"/>
    </w:pPr>
    <w:rPr>
      <w:rFonts w:ascii="Segoe UI" w:eastAsiaTheme="minorEastAsia" w:hAnsi="Segoe UI"/>
      <w:caps/>
      <w:color w:val="C00000"/>
      <w:sz w:val="18"/>
      <w:szCs w:val="21"/>
    </w:rPr>
  </w:style>
  <w:style w:customStyle="1" w:styleId="CLASSIFICATIONChar" w:type="character">
    <w:name w:val="CLASSIFICATION Char"/>
    <w:basedOn w:val="DefaultParagraphFont"/>
    <w:link w:val="CLASSIFICATION"/>
    <w:uiPriority w:val="99"/>
    <w:rsid w:val="005919F1"/>
    <w:rPr>
      <w:rFonts w:ascii="Segoe UI" w:eastAsiaTheme="minorEastAsia" w:hAnsi="Segoe UI"/>
      <w:caps/>
      <w:color w:val="C00000"/>
      <w:sz w:val="18"/>
      <w:szCs w:val="21"/>
    </w:rPr>
  </w:style>
  <w:style w:styleId="Hyperlink" w:type="character">
    <w:name w:val="Hyperlink"/>
    <w:basedOn w:val="DefaultParagraphFont"/>
    <w:uiPriority w:val="99"/>
    <w:unhideWhenUsed/>
    <w:rsid w:val="00072A22"/>
    <w:rPr>
      <w:rFonts w:cs="Arial"/>
      <w:u w:val="single"/>
    </w:rPr>
  </w:style>
  <w:style w:customStyle="1" w:styleId="Table" w:type="table">
    <w:name w:val="Table"/>
    <w:basedOn w:val="TableNormal"/>
    <w:uiPriority w:val="99"/>
    <w:rsid w:val="00072A22"/>
    <w:pPr>
      <w:spacing w:after="0" w:line="240" w:lineRule="auto"/>
    </w:pPr>
    <w:tblPr/>
  </w:style>
  <w:style w:type="paragraph" w:customStyle="1" w:styleId="SourceCode">
    <w:name w:val="Source Code"/>
    <w:basedOn w:val="Normal"/>
    <w:link w:val="VerbatimChar"/>
    <w:pPr>
      <w:wordWrap w:val="off"/>
      <w:shd w:val="clear" w:fill="f8f8f8"/>
    </w:pPr>
  </w:style>
  <w:style w:type="character" w:customStyle="1" w:styleId="KeywordTok">
    <w:name w:val="KeywordTok"/>
    <w:basedOn w:val="VerbatimChar"/>
    <w:rPr>
      <w:color w:val="204a87"/>
      <w:shd w:val="clear" w:fill="f8f8f8"/>
      <w:b/>
    </w:rPr>
  </w:style>
  <w:style w:type="character" w:customStyle="1" w:styleId="DataTypeTok">
    <w:name w:val="DataTypeTok"/>
    <w:basedOn w:val="VerbatimChar"/>
    <w:rPr>
      <w:color w:val="204a87"/>
      <w:shd w:val="clear" w:fill="f8f8f8"/>
    </w:rPr>
  </w:style>
  <w:style w:type="character" w:customStyle="1" w:styleId="DecValTok">
    <w:name w:val="DecValTok"/>
    <w:basedOn w:val="VerbatimChar"/>
    <w:rPr>
      <w:color w:val="0000cf"/>
      <w:shd w:val="clear" w:fill="f8f8f8"/>
    </w:rPr>
  </w:style>
  <w:style w:type="character" w:customStyle="1" w:styleId="BaseNTok">
    <w:name w:val="BaseNTok"/>
    <w:basedOn w:val="VerbatimChar"/>
    <w:rPr>
      <w:color w:val="0000cf"/>
      <w:shd w:val="clear" w:fill="f8f8f8"/>
    </w:rPr>
  </w:style>
  <w:style w:type="character" w:customStyle="1" w:styleId="FloatTok">
    <w:name w:val="FloatTok"/>
    <w:basedOn w:val="VerbatimChar"/>
    <w:rPr>
      <w:color w:val="0000cf"/>
      <w:shd w:val="clear" w:fill="f8f8f8"/>
    </w:rPr>
  </w:style>
  <w:style w:type="character" w:customStyle="1" w:styleId="ConstantTok">
    <w:name w:val="ConstantTok"/>
    <w:basedOn w:val="VerbatimChar"/>
    <w:rPr>
      <w:color w:val="8f5902"/>
      <w:shd w:val="clear" w:fill="f8f8f8"/>
    </w:rPr>
  </w:style>
  <w:style w:type="character" w:customStyle="1" w:styleId="CharTok">
    <w:name w:val="CharTok"/>
    <w:basedOn w:val="VerbatimChar"/>
    <w:rPr>
      <w:color w:val="4e9a06"/>
      <w:shd w:val="clear" w:fill="f8f8f8"/>
    </w:rPr>
  </w:style>
  <w:style w:type="character" w:customStyle="1" w:styleId="SpecialCharTok">
    <w:name w:val="SpecialCharTok"/>
    <w:basedOn w:val="VerbatimChar"/>
    <w:rPr>
      <w:color w:val="ce5c00"/>
      <w:shd w:val="clear" w:fill="f8f8f8"/>
      <w:b/>
    </w:rPr>
  </w:style>
  <w:style w:type="character" w:customStyle="1" w:styleId="StringTok">
    <w:name w:val="StringTok"/>
    <w:basedOn w:val="VerbatimChar"/>
    <w:rPr>
      <w:color w:val="4e9a06"/>
      <w:shd w:val="clear" w:fill="f8f8f8"/>
    </w:rPr>
  </w:style>
  <w:style w:type="character" w:customStyle="1" w:styleId="VerbatimStringTok">
    <w:name w:val="VerbatimStringTok"/>
    <w:basedOn w:val="VerbatimChar"/>
    <w:rPr>
      <w:color w:val="4e9a06"/>
      <w:shd w:val="clear" w:fill="f8f8f8"/>
    </w:rPr>
  </w:style>
  <w:style w:type="character" w:customStyle="1" w:styleId="SpecialStringTok">
    <w:name w:val="SpecialStringTok"/>
    <w:basedOn w:val="VerbatimChar"/>
    <w:rPr>
      <w:color w:val="4e9a06"/>
      <w:shd w:val="clear" w:fill="f8f8f8"/>
    </w:rPr>
  </w:style>
  <w:style w:type="character" w:customStyle="1" w:styleId="ImportTok">
    <w:name w:val="ImportTok"/>
    <w:basedOn w:val="VerbatimChar"/>
    <w:rPr>
      <w:shd w:val="clear" w:fill="f8f8f8"/>
    </w:rPr>
  </w:style>
  <w:style w:type="character" w:customStyle="1" w:styleId="CommentTok">
    <w:name w:val="CommentTok"/>
    <w:basedOn w:val="VerbatimChar"/>
    <w:rPr>
      <w:color w:val="8f5902"/>
      <w:shd w:val="clear" w:fill="f8f8f8"/>
      <w:i/>
    </w:rPr>
  </w:style>
  <w:style w:type="character" w:customStyle="1" w:styleId="DocumentationTok">
    <w:name w:val="DocumentationTok"/>
    <w:basedOn w:val="VerbatimChar"/>
    <w:rPr>
      <w:color w:val="8f5902"/>
      <w:shd w:val="clear" w:fill="f8f8f8"/>
      <w:b/>
      <w:i/>
    </w:rPr>
  </w:style>
  <w:style w:type="character" w:customStyle="1" w:styleId="AnnotationTok">
    <w:name w:val="AnnotationTok"/>
    <w:basedOn w:val="VerbatimChar"/>
    <w:rPr>
      <w:color w:val="8f5902"/>
      <w:shd w:val="clear" w:fill="f8f8f8"/>
      <w:b/>
      <w:i/>
    </w:rPr>
  </w:style>
  <w:style w:type="character" w:customStyle="1" w:styleId="CommentVarTok">
    <w:name w:val="CommentVarTok"/>
    <w:basedOn w:val="VerbatimChar"/>
    <w:rPr>
      <w:color w:val="8f5902"/>
      <w:shd w:val="clear" w:fill="f8f8f8"/>
      <w:b/>
      <w:i/>
    </w:rPr>
  </w:style>
  <w:style w:type="character" w:customStyle="1" w:styleId="OtherTok">
    <w:name w:val="OtherTok"/>
    <w:basedOn w:val="VerbatimChar"/>
    <w:rPr>
      <w:color w:val="8f5902"/>
      <w:shd w:val="clear" w:fill="f8f8f8"/>
    </w:rPr>
  </w:style>
  <w:style w:type="character" w:customStyle="1" w:styleId="FunctionTok">
    <w:name w:val="FunctionTok"/>
    <w:basedOn w:val="VerbatimChar"/>
    <w:rPr>
      <w:color w:val="204a87"/>
      <w:shd w:val="clear" w:fill="f8f8f8"/>
      <w:b/>
    </w:rPr>
  </w:style>
  <w:style w:type="character" w:customStyle="1" w:styleId="VariableTok">
    <w:name w:val="VariableTok"/>
    <w:basedOn w:val="VerbatimChar"/>
    <w:rPr>
      <w:color w:val="000000"/>
      <w:shd w:val="clear" w:fill="f8f8f8"/>
    </w:rPr>
  </w:style>
  <w:style w:type="character" w:customStyle="1" w:styleId="ControlFlowTok">
    <w:name w:val="ControlFlowTok"/>
    <w:basedOn w:val="VerbatimChar"/>
    <w:rPr>
      <w:color w:val="204a87"/>
      <w:shd w:val="clear" w:fill="f8f8f8"/>
      <w:b/>
    </w:rPr>
  </w:style>
  <w:style w:type="character" w:customStyle="1" w:styleId="OperatorTok">
    <w:name w:val="OperatorTok"/>
    <w:basedOn w:val="VerbatimChar"/>
    <w:rPr>
      <w:color w:val="ce5c00"/>
      <w:shd w:val="clear" w:fill="f8f8f8"/>
      <w:b/>
    </w:rPr>
  </w:style>
  <w:style w:type="character" w:customStyle="1" w:styleId="BuiltInTok">
    <w:name w:val="BuiltInTok"/>
    <w:basedOn w:val="VerbatimChar"/>
    <w:rPr>
      <w:shd w:val="clear" w:fill="f8f8f8"/>
    </w:rPr>
  </w:style>
  <w:style w:type="character" w:customStyle="1" w:styleId="ExtensionTok">
    <w:name w:val="ExtensionTok"/>
    <w:basedOn w:val="VerbatimChar"/>
    <w:rPr>
      <w:shd w:val="clear" w:fill="f8f8f8"/>
    </w:rPr>
  </w:style>
  <w:style w:type="character" w:customStyle="1" w:styleId="PreprocessorTok">
    <w:name w:val="PreprocessorTok"/>
    <w:basedOn w:val="VerbatimChar"/>
    <w:rPr>
      <w:color w:val="8f5902"/>
      <w:shd w:val="clear" w:fill="f8f8f8"/>
      <w:i/>
    </w:rPr>
  </w:style>
  <w:style w:type="character" w:customStyle="1" w:styleId="AttributeTok">
    <w:name w:val="AttributeTok"/>
    <w:basedOn w:val="VerbatimChar"/>
    <w:rPr>
      <w:color w:val="204a87"/>
      <w:shd w:val="clear" w:fill="f8f8f8"/>
    </w:rPr>
  </w:style>
  <w:style w:type="character" w:customStyle="1" w:styleId="RegionMarkerTok">
    <w:name w:val="RegionMarkerTok"/>
    <w:basedOn w:val="VerbatimChar"/>
    <w:rPr>
      <w:shd w:val="clear" w:fill="f8f8f8"/>
    </w:rPr>
  </w:style>
  <w:style w:type="character" w:customStyle="1" w:styleId="InformationTok">
    <w:name w:val="InformationTok"/>
    <w:basedOn w:val="VerbatimChar"/>
    <w:rPr>
      <w:color w:val="8f5902"/>
      <w:shd w:val="clear" w:fill="f8f8f8"/>
      <w:b/>
      <w:i/>
    </w:rPr>
  </w:style>
  <w:style w:type="character" w:customStyle="1" w:styleId="WarningTok">
    <w:name w:val="WarningTok"/>
    <w:basedOn w:val="VerbatimChar"/>
    <w:rPr>
      <w:color w:val="8f5902"/>
      <w:shd w:val="clear" w:fill="f8f8f8"/>
      <w:b/>
      <w:i/>
    </w:rPr>
  </w:style>
  <w:style w:type="character" w:customStyle="1" w:styleId="AlertTok">
    <w:name w:val="AlertTok"/>
    <w:basedOn w:val="VerbatimChar"/>
    <w:rPr>
      <w:color w:val="ef2929"/>
      <w:shd w:val="clear" w:fill="f8f8f8"/>
    </w:rPr>
  </w:style>
  <w:style w:type="character" w:customStyle="1" w:styleId="ErrorTok">
    <w:name w:val="ErrorTok"/>
    <w:basedOn w:val="VerbatimChar"/>
    <w:rPr>
      <w:color w:val="a40000"/>
      <w:shd w:val="clear" w:fill="f8f8f8"/>
      <w:b/>
    </w:rPr>
  </w:style>
  <w:style w:type="character" w:customStyle="1" w:styleId="NormalTok">
    <w:name w:val="NormalTok"/>
    <w:basedOn w:val="VerbatimChar"/>
    <w:rPr>
      <w:shd w:val="clear" w:fill="f8f8f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1.xml" Type="http://schemas.openxmlformats.org/officeDocument/2006/relationships/header" /><Relationship Type="http://schemas.openxmlformats.org/officeDocument/2006/relationships/hyperlink" Id="rId38" Target="https://data.gov.au/dataset/ds-dga-cff2ae8a-55e4-47db-a66d-e177fe0ac6a0/details" TargetMode="External" /><Relationship Type="http://schemas.openxmlformats.org/officeDocument/2006/relationships/hyperlink" Id="rId42" Target="https://economy.id.com.au/" TargetMode="External" /><Relationship Type="http://schemas.openxmlformats.org/officeDocument/2006/relationships/hyperlink" Id="rId43" Target="https://www.abs.gov.au/statistics/economy/business-indicators/counts-australian-businesses-including-entries-and-exits/latest-release" TargetMode="External" /><Relationship Type="http://schemas.openxmlformats.org/officeDocument/2006/relationships/hyperlink" Id="rId46" Target="https://www.abs.gov.au/statistics/labour/earnings-and-working-conditions/personal-income-australia/latest-release#data-downloads" TargetMode="External" /><Relationship Type="http://schemas.openxmlformats.org/officeDocument/2006/relationships/hyperlink" Id="rId45" Target="https://www.abs.gov.au/statistics/labour/employment-and-unemployment/labour-force-australia-detailed/latest-release" TargetMode="External" /><Relationship Type="http://schemas.openxmlformats.org/officeDocument/2006/relationships/hyperlink" Id="rId39" Target="https://www.abs.gov.au/statistics/people/housing/estimating-homelessness-census/latest-release#data-downloads" TargetMode="External" /><Relationship Type="http://schemas.openxmlformats.org/officeDocument/2006/relationships/hyperlink" Id="rId41" Target="https://www.abs.gov.au/statistics/people/people-and-communities/socio-economic-indexes-areas-seifa-australia/latest-release#data-downloads" TargetMode="External" /><Relationship Type="http://schemas.openxmlformats.org/officeDocument/2006/relationships/hyperlink" Id="rId44" Target="https://www.abs.gov.au/statistics/people/population/regional-population-age-and-sex/latest-release#data-downloads" TargetMode="External" /><Relationship Type="http://schemas.openxmlformats.org/officeDocument/2006/relationships/hyperlink" Id="rId37" Target="https://www.abs.gov.au/statistics/people/population/regional-population/latest-release#data-downloads" TargetMode="External" /><Relationship Type="http://schemas.openxmlformats.org/officeDocument/2006/relationships/hyperlink" Id="rId31" Target="https://www.disasterassist.gov.au/" TargetMode="External" /><Relationship Type="http://schemas.openxmlformats.org/officeDocument/2006/relationships/hyperlink" Id="rId40" Target="https://www.nationalskillscommission.gov.au/topics/small-area-labour-markets#UpdatedLGAstructure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38" Target="https://data.gov.au/dataset/ds-dga-cff2ae8a-55e4-47db-a66d-e177fe0ac6a0/details" TargetMode="External" /><Relationship Type="http://schemas.openxmlformats.org/officeDocument/2006/relationships/hyperlink" Id="rId42" Target="https://economy.id.com.au/" TargetMode="External" /><Relationship Type="http://schemas.openxmlformats.org/officeDocument/2006/relationships/hyperlink" Id="rId43" Target="https://www.abs.gov.au/statistics/economy/business-indicators/counts-australian-businesses-including-entries-and-exits/latest-release" TargetMode="External" /><Relationship Type="http://schemas.openxmlformats.org/officeDocument/2006/relationships/hyperlink" Id="rId46" Target="https://www.abs.gov.au/statistics/labour/earnings-and-working-conditions/personal-income-australia/latest-release#data-downloads" TargetMode="External" /><Relationship Type="http://schemas.openxmlformats.org/officeDocument/2006/relationships/hyperlink" Id="rId45" Target="https://www.abs.gov.au/statistics/labour/employment-and-unemployment/labour-force-australia-detailed/latest-release" TargetMode="External" /><Relationship Type="http://schemas.openxmlformats.org/officeDocument/2006/relationships/hyperlink" Id="rId39" Target="https://www.abs.gov.au/statistics/people/housing/estimating-homelessness-census/latest-release#data-downloads" TargetMode="External" /><Relationship Type="http://schemas.openxmlformats.org/officeDocument/2006/relationships/hyperlink" Id="rId41" Target="https://www.abs.gov.au/statistics/people/people-and-communities/socio-economic-indexes-areas-seifa-australia/latest-release#data-downloads" TargetMode="External" /><Relationship Type="http://schemas.openxmlformats.org/officeDocument/2006/relationships/hyperlink" Id="rId44" Target="https://www.abs.gov.au/statistics/people/population/regional-population-age-and-sex/latest-release#data-downloads" TargetMode="External" /><Relationship Type="http://schemas.openxmlformats.org/officeDocument/2006/relationships/hyperlink" Id="rId37" Target="https://www.abs.gov.au/statistics/people/population/regional-population/latest-release#data-downloads" TargetMode="External" /><Relationship Type="http://schemas.openxmlformats.org/officeDocument/2006/relationships/hyperlink" Id="rId31" Target="https://www.disasterassist.gov.au/" TargetMode="External" /><Relationship Type="http://schemas.openxmlformats.org/officeDocument/2006/relationships/hyperlink" Id="rId40" Target="https://www.nationalskillscommission.gov.au/topics/small-area-labour-markets#UpdatedLGAstructure" TargetMode="External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MC14515\Downloads\NEMA_ONE-PAGE-PORTRAIT_A4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NEMA_ONE-PAGE-PORTRAIT_A4</Template>
  <TotalTime>19</TotalTime>
  <Pages>1</Pages>
  <Words>27</Words>
  <Characters>157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Department of the Prime Minister and Cabinet</Company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2025-01-02T02:03:25Z</dcterms:created>
  <dcterms:modified xsi:type="dcterms:W3CDTF">2025-01-02T02:03:25Z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utput">
    <vt:lpwstr/>
  </property>
  <property fmtid="{D5CDD505-2E9C-101B-9397-08002B2CF9AE}" pid="3" name="params">
    <vt:lpwstr/>
  </property>
</Properties>
</file>