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48" w:name="trayning-profile"/>
    <w:p>
      <w:pPr>
        <w:pStyle w:val="Heading1"/>
      </w:pPr>
      <w:r>
        <w:t xml:space="preserve">Trayning Profile</w:t>
      </w:r>
    </w:p>
    <w:p>
      <w:pPr>
        <w:pStyle w:val="FirstParagraph"/>
      </w:pPr>
      <w:r>
        <w:t xml:space="preserve">Report generated on 03 September 2024.</w:t>
      </w:r>
    </w:p>
    <w:bookmarkStart w:id="20" w:name="overview"/>
    <w:p>
      <w:pPr>
        <w:pStyle w:val="Heading2"/>
      </w:pPr>
      <w:r>
        <w:t xml:space="preserve">Overview</w:t>
      </w:r>
    </w:p>
    <w:p>
      <w:pPr>
        <w:pStyle w:val="FirstParagraph"/>
      </w:pPr>
      <w:r>
        <w:rPr>
          <w:bCs/>
          <w:b/>
        </w:rPr>
        <w:t xml:space="preserve">Total Area:</w:t>
      </w:r>
      <w:r>
        <w:t xml:space="preserve"> </w:t>
      </w:r>
      <w:r>
        <w:t xml:space="preserve">1,651 sqkm          </w:t>
      </w:r>
      <w:r>
        <w:rPr>
          <w:bCs/>
          <w:b/>
        </w:rPr>
        <w:t xml:space="preserve">Population:</w:t>
      </w:r>
      <w:r>
        <w:t xml:space="preserve"> </w:t>
      </w:r>
      <w:r>
        <w:t xml:space="preserve">304          </w:t>
      </w:r>
      <w:r>
        <w:rPr>
          <w:bCs/>
          <w:b/>
        </w:rPr>
        <w:t xml:space="preserve">Major Town:</w:t>
      </w:r>
      <w:r>
        <w:t xml:space="preserve"> </w:t>
      </w:r>
      <w:r>
        <w:t xml:space="preserve">Kununoppin</w:t>
      </w:r>
    </w:p>
    <w:bookmarkEnd w:id="20"/>
    <w:bookmarkStart w:id="22" w:name="demographics"/>
    <w:p>
      <w:pPr>
        <w:pStyle w:val="Heading2"/>
      </w:pPr>
      <w:r>
        <w:t xml:space="preserve">Demographics</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fixed"/>
        <w:jc w:val="start"/>
        <w:tblLook w:firstRow="1" w:lastRow="0" w:firstColumn="0" w:lastColumn="0" w:noHBand="0" w:noVBand="1"/>
      </w:tblPr>
      <w:tblGrid>
        <w:gridCol w:w="3478"/>
        <w:gridCol w:w="3478"/>
        <w:gridCol w:w="3478"/>
      </w:tblGrid>
      <w:tr>
        <w:trPr>
          <w:trHeight w:val="360" w:hRule="auto"/>
          <w:tblHeader/>
        </w:trPr>
        header1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Median Age</w:t>
            </w:r>
          </w:p>
        </w:tc>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Labour Force Median Age</w:t>
            </w:r>
          </w:p>
        </w:tc>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Labour Force Population</w:t>
            </w:r>
          </w:p>
        </w:tc>
      </w:tr>
      <w:tr>
        <w:trPr>
          <w:trHeight w:val="360" w:hRule="auto"/>
        </w:trPr>
        body1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54</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49</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200</w:t>
            </w:r>
          </w:p>
        </w:tc>
      </w:tr>
    </w:tbl>
    <w:bookmarkStart w:id="21" w:name="section"/>
    <w:p>
      <w:pPr>
        <w:pStyle w:val="Heading5"/>
      </w:pPr>
    </w:p>
    <w:bookmarkEnd w:id="21"/>
    <w:bookmarkEnd w:id="22"/>
    <w:bookmarkStart w:id="24" w:name="vulnerability"/>
    <w:p>
      <w:pPr>
        <w:pStyle w:val="Heading2"/>
      </w:pPr>
      <w:r>
        <w:t xml:space="preserve">Vulnerability</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fixed"/>
        <w:jc w:val="start"/>
        <w:tblLook w:firstRow="1" w:lastRow="0" w:firstColumn="0" w:lastColumn="0" w:noHBand="0" w:noVBand="1"/>
      </w:tblPr>
      <w:tblGrid>
        <w:gridCol w:w="3478"/>
        <w:gridCol w:w="3478"/>
        <w:gridCol w:w="3478"/>
      </w:tblGrid>
      <w:tr>
        <w:trPr>
          <w:trHeight w:val="360" w:hRule="auto"/>
          <w:tblHeader/>
        </w:trPr>
        header1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Homelessness Population</w:t>
            </w:r>
          </w:p>
        </w:tc>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Unemployment Rate</w:t>
            </w:r>
          </w:p>
        </w:tc>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SEIFA - IRSD</w:t>
            </w:r>
          </w:p>
        </w:tc>
      </w:tr>
      <w:tr>
        <w:trPr>
          <w:trHeight w:val="360" w:hRule="auto"/>
        </w:trPr>
        body1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3</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2%</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2</w:t>
            </w:r>
          </w:p>
        </w:tc>
      </w:tr>
    </w:tbl>
    <w:bookmarkStart w:id="23" w:name="section-1"/>
    <w:p>
      <w:pPr>
        <w:pStyle w:val="Heading5"/>
      </w:pPr>
    </w:p>
    <w:bookmarkEnd w:id="23"/>
    <w:bookmarkEnd w:id="24"/>
    <w:bookmarkStart w:id="26" w:name="X55156e1a025664e7d16d5e8342759755d41e8b3"/>
    <w:p>
      <w:pPr>
        <w:pStyle w:val="Heading2"/>
      </w:pPr>
      <w:r>
        <w:t xml:space="preserve">Support Payments LGA and State Comparison</w:t>
      </w:r>
    </w:p>
    <w:p>
      <w:pPr>
        <w:pStyle w:val="FirstParagraph"/>
      </w:pPr>
      <w:r>
        <w:t xml:space="preserve">The percentage (%) in this table represents the proportion of the population currently receiving support payments.</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fixed"/>
        <w:jc w:val="start"/>
        <w:tblLook w:firstRow="1" w:lastRow="0" w:firstColumn="0" w:lastColumn="0" w:noHBand="0" w:noVBand="1"/>
      </w:tblPr>
      <w:tblGrid>
        <w:gridCol w:w="6624"/>
        <w:gridCol w:w="2027"/>
        <w:gridCol w:w="1739"/>
      </w:tblGrid>
      <w:tr>
        <w:trPr>
          <w:trHeight w:val="360" w:hRule="auto"/>
          <w:tblHeader/>
        </w:trPr>
        header1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Rates</w:t>
            </w:r>
          </w:p>
        </w:tc>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Trayning</w:t>
            </w:r>
          </w:p>
        </w:tc>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Western Australia</w:t>
            </w:r>
          </w:p>
        </w:tc>
      </w:tr>
      <w:tr>
        <w:trPr>
          <w:trHeight w:val="360" w:hRule="auto"/>
        </w:trPr>
        body1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Age Pension </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16.4%</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8%</w:t>
            </w:r>
          </w:p>
        </w:tc>
      </w:tr>
      <w:tr>
        <w:trPr>
          <w:trHeight w:val="360" w:hRule="auto"/>
        </w:trPr>
        body2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Disability Support Pension </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8.2%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2%</w:t>
            </w:r>
          </w:p>
        </w:tc>
      </w:tr>
      <w:tr>
        <w:trPr>
          <w:trHeight w:val="360" w:hRule="auto"/>
        </w:trPr>
        body3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Carer Allowance </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4.9%</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1%</w:t>
            </w:r>
          </w:p>
        </w:tc>
      </w:tr>
      <w:tr>
        <w:trPr>
          <w:trHeight w:val="360" w:hRule="auto"/>
        </w:trPr>
        body4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Commonwealth Rent Assistance </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3.3%</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3%</w:t>
            </w:r>
          </w:p>
        </w:tc>
      </w:tr>
    </w:tbl>
    <w:bookmarkStart w:id="25" w:name="section-2"/>
    <w:p>
      <w:pPr>
        <w:pStyle w:val="Heading5"/>
      </w:pPr>
    </w:p>
    <w:bookmarkEnd w:id="25"/>
    <w:bookmarkEnd w:id="26"/>
    <w:bookmarkStart w:id="28" w:name="economy"/>
    <w:p>
      <w:pPr>
        <w:pStyle w:val="Heading2"/>
      </w:pPr>
      <w:r>
        <w:t xml:space="preserve">Economy</w:t>
      </w:r>
    </w:p>
    <w:p>
      <w:pPr>
        <w:pStyle w:val="FirstParagraph"/>
      </w:pPr>
      <w:r>
        <w:rPr>
          <w:bCs/>
          <w:b/>
        </w:rPr>
        <w:t xml:space="preserve">Median Income:</w:t>
      </w:r>
      <w:r>
        <w:t xml:space="preserve"> </w:t>
      </w:r>
      <w:r>
        <w:t xml:space="preserve">$63,376          </w:t>
      </w:r>
      <w:r>
        <w:rPr>
          <w:bCs/>
          <w:b/>
        </w:rPr>
        <w:t xml:space="preserve">Gross Regional Product:</w:t>
      </w:r>
      <w:r>
        <w:t xml:space="preserve"> </w:t>
      </w:r>
      <w:r>
        <w:t xml:space="preserve">$38 Million          </w:t>
      </w:r>
      <w:r>
        <w:rPr>
          <w:bCs/>
          <w:b/>
        </w:rPr>
        <w:t xml:space="preserve">Employed Residents:</w:t>
      </w:r>
      <w:r>
        <w:t xml:space="preserve"> </w:t>
      </w:r>
      <w:r>
        <w:t xml:space="preserve">126</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fixed"/>
        <w:jc w:val="start"/>
        <w:tblLook w:firstRow="1" w:lastRow="0" w:firstColumn="0" w:lastColumn="0" w:noHBand="0" w:noVBand="1"/>
      </w:tblPr>
      <w:tblGrid>
        <w:gridCol w:w="3478"/>
        <w:gridCol w:w="1739"/>
        <w:gridCol w:w="3478"/>
        <w:gridCol w:w="1739"/>
      </w:tblGrid>
      <w:tr>
        <w:trPr>
          <w:trHeight w:val="360" w:hRule="auto"/>
          <w:tblHeader/>
        </w:trPr>
        header1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Ranked Industries With Most Value</w:t>
            </w:r>
          </w:p>
        </w:tc>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Value ($Million)</w:t>
            </w:r>
          </w:p>
        </w:tc>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Ranked Employing Industries</w:t>
            </w:r>
          </w:p>
        </w:tc>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No. Employees</w:t>
            </w:r>
          </w:p>
        </w:tc>
      </w:tr>
      <w:tr>
        <w:trPr>
          <w:trHeight w:val="360" w:hRule="auto"/>
        </w:trPr>
        body1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Agriculture, Forestry and Fishing</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28</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Agriculture, Forestry and Fishing</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57</w:t>
            </w:r>
          </w:p>
        </w:tc>
      </w:tr>
      <w:tr>
        <w:trPr>
          <w:trHeight w:val="360" w:hRule="auto"/>
        </w:trPr>
        body2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Rental, Hiring and Real Estate Services</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Health Care and Social Assistance</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21</w:t>
            </w:r>
          </w:p>
        </w:tc>
      </w:tr>
      <w:tr>
        <w:trPr>
          <w:trHeight w:val="360" w:hRule="auto"/>
        </w:trPr>
        body3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Health Care and Social Assistance</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Public Administration and Safety</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14</w:t>
            </w:r>
          </w:p>
        </w:tc>
      </w:tr>
      <w:tr>
        <w:trPr>
          <w:trHeight w:val="360" w:hRule="auto"/>
        </w:trPr>
        body4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Accommodation and Food Services</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Education and Training</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11</w:t>
            </w:r>
          </w:p>
        </w:tc>
      </w:tr>
      <w:tr>
        <w:trPr>
          <w:trHeight w:val="360" w:hRule="auto"/>
        </w:trPr>
        body5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Public Administration and Safety</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1</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Accommodation and Food Services</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9</w:t>
            </w:r>
          </w:p>
        </w:tc>
      </w:tr>
    </w:tbl>
    <w:bookmarkStart w:id="27" w:name="section-3"/>
    <w:p>
      <w:pPr>
        <w:pStyle w:val="Heading5"/>
      </w:pPr>
    </w:p>
    <w:bookmarkEnd w:id="27"/>
    <w:bookmarkEnd w:id="28"/>
    <w:bookmarkStart w:id="34" w:name="number-of-businesses"/>
    <w:p>
      <w:pPr>
        <w:pStyle w:val="Heading2"/>
      </w:pPr>
      <w:r>
        <w:t xml:space="preserve">Number of Businesses</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fixed"/>
        <w:jc w:val="start"/>
        <w:tblLook w:firstRow="1" w:lastRow="0" w:firstColumn="0" w:lastColumn="0" w:noHBand="0" w:noVBand="1"/>
      </w:tblPr>
      <w:tblGrid>
        <w:gridCol w:w="5216"/>
        <w:gridCol w:w="5216"/>
      </w:tblGrid>
      <w:tr>
        <w:trPr>
          <w:trHeight w:val="360" w:hRule="auto"/>
          <w:tblHeader/>
        </w:trPr>
        header1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Small Businesses (&lt;20 employees)</w:t>
            </w:r>
          </w:p>
        </w:tc>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Total Businesses</w:t>
            </w:r>
          </w:p>
        </w:tc>
      </w:tr>
      <w:tr>
        <w:trPr>
          <w:trHeight w:val="360" w:hRule="auto"/>
        </w:trPr>
        body1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54</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53</w:t>
            </w:r>
          </w:p>
        </w:tc>
      </w:tr>
    </w:tbl>
    <w:bookmarkStart w:id="29" w:name="section-4"/>
    <w:p>
      <w:pPr>
        <w:pStyle w:val="Heading5"/>
      </w:pPr>
    </w:p>
    <w:bookmarkEnd w:id="29"/>
    <w:bookmarkStart w:id="30" w:name="section-5"/>
    <w:p>
      <w:pPr>
        <w:pStyle w:val="Heading5"/>
      </w:pPr>
    </w:p>
    <w:bookmarkEnd w:id="30"/>
    <w:bookmarkStart w:id="31" w:name="section-6"/>
    <w:p>
      <w:pPr>
        <w:pStyle w:val="Heading5"/>
      </w:pPr>
    </w:p>
    <w:bookmarkEnd w:id="31"/>
    <w:bookmarkStart w:id="32" w:name="section-7"/>
    <w:p>
      <w:pPr>
        <w:pStyle w:val="Heading5"/>
      </w:pPr>
    </w:p>
    <w:bookmarkEnd w:id="32"/>
    <w:bookmarkStart w:id="33" w:name="section-8"/>
    <w:p>
      <w:pPr>
        <w:pStyle w:val="Heading5"/>
      </w:pPr>
    </w:p>
    <w:bookmarkEnd w:id="33"/>
    <w:bookmarkEnd w:id="34"/>
    <w:bookmarkStart w:id="47" w:name="disaster-ready-fund-drf"/>
    <w:p>
      <w:pPr>
        <w:pStyle w:val="Heading2"/>
      </w:pPr>
      <w:r>
        <w:t xml:space="preserve">Disaster Ready Fund (DRF)</w:t>
      </w:r>
    </w:p>
    <w:p>
      <w:pPr>
        <w:pStyle w:val="FirstParagraph"/>
      </w:pPr>
      <w:r>
        <w:t xml:space="preserve">The Disaster Ready Fund (DRF) is the Australian Government’s flagship initiative for disaster resilience and risk reduction. The Australian Government is providing up to one billion dollars through the DRF. The funding runs over five years from 1 July 2023.</w:t>
      </w:r>
    </w:p>
    <w:p>
      <w:pPr>
        <w:pStyle w:val="BodyText"/>
      </w:pPr>
      <w:r>
        <w:t xml:space="preserve">*Some program costs are shared amongst multiple LGAs</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fixed"/>
        <w:jc w:val="start"/>
        <w:tblLook w:firstRow="1" w:lastRow="0" w:firstColumn="0" w:lastColumn="0" w:noHBand="0" w:noVBand="1"/>
      </w:tblPr>
      <w:tblGrid>
        <w:gridCol w:w="6518"/>
        <w:gridCol w:w="1739"/>
        <w:gridCol w:w="2176"/>
      </w:tblGrid>
      <w:tr>
        <w:trPr>
          <w:trHeight w:val="360" w:hRule="auto"/>
          <w:tblHeader/>
        </w:trPr>
        header1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Program</w:t>
            </w:r>
          </w:p>
        </w:tc>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Number of Programs</w:t>
            </w:r>
          </w:p>
        </w:tc>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Total Commonwealth agreed funding*</w:t>
            </w:r>
          </w:p>
        </w:tc>
      </w:tr>
      <w:tr>
        <w:trPr>
          <w:trHeight w:val="360" w:hRule="auto"/>
        </w:trPr>
        body1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Disaster Ready Fund Round One</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1</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1,285,000</w:t>
            </w:r>
          </w:p>
        </w:tc>
      </w:tr>
    </w:tbl>
    <w:bookmarkStart w:id="35" w:name="section-9"/>
    <w:p>
      <w:pPr>
        <w:pStyle w:val="Heading5"/>
      </w:pPr>
    </w:p>
    <w:p>
      <w:r>
        <w:br w:type="page"/>
      </w:r>
    </w:p>
    <w:bookmarkEnd w:id="35"/>
    <w:bookmarkStart w:id="46" w:name="data-sources"/>
    <w:p>
      <w:pPr>
        <w:pStyle w:val="Heading3"/>
      </w:pPr>
      <w:r>
        <w:t xml:space="preserve">Data Sources</w:t>
      </w:r>
    </w:p>
    <w:p>
      <w:pPr>
        <w:pStyle w:val="FirstParagraph"/>
      </w:pPr>
      <w:r>
        <w:t xml:space="preserve">These profiles utilise data from a number of third-party providers, including:</w:t>
      </w:r>
    </w:p>
    <w:p>
      <w:pPr>
        <w:numPr>
          <w:ilvl w:val="0"/>
          <w:numId w:val="1001"/>
        </w:numPr>
        <w:pStyle w:val="Compact"/>
      </w:pPr>
      <w:r>
        <w:t xml:space="preserve">Services Australia</w:t>
      </w:r>
    </w:p>
    <w:p>
      <w:pPr>
        <w:numPr>
          <w:ilvl w:val="0"/>
          <w:numId w:val="1001"/>
        </w:numPr>
        <w:pStyle w:val="Compact"/>
      </w:pPr>
      <w:r>
        <w:t xml:space="preserve">State and Territory Governments</w:t>
      </w:r>
    </w:p>
    <w:p>
      <w:pPr>
        <w:numPr>
          <w:ilvl w:val="0"/>
          <w:numId w:val="1001"/>
        </w:numPr>
        <w:pStyle w:val="Compact"/>
      </w:pPr>
      <w:hyperlink r:id="rId36">
        <w:r>
          <w:rPr>
            <w:rStyle w:val="Hyperlink"/>
          </w:rPr>
          <w:t xml:space="preserve">Regional population, 2021-22 financial year | Australian Bureau of Statistics (abs.gov.au)</w:t>
        </w:r>
      </w:hyperlink>
    </w:p>
    <w:p>
      <w:pPr>
        <w:numPr>
          <w:ilvl w:val="0"/>
          <w:numId w:val="1001"/>
        </w:numPr>
        <w:pStyle w:val="Compact"/>
      </w:pPr>
      <w:hyperlink r:id="rId37">
        <w:r>
          <w:rPr>
            <w:rStyle w:val="Hyperlink"/>
          </w:rPr>
          <w:t xml:space="preserve">DSS Benefit and Payment Recipient Demographics - quarterly data | Datasets | data.gov.au - beta</w:t>
        </w:r>
      </w:hyperlink>
    </w:p>
    <w:p>
      <w:pPr>
        <w:numPr>
          <w:ilvl w:val="0"/>
          <w:numId w:val="1001"/>
        </w:numPr>
        <w:pStyle w:val="Compact"/>
      </w:pPr>
      <w:hyperlink r:id="rId38">
        <w:r>
          <w:rPr>
            <w:rStyle w:val="Hyperlink"/>
          </w:rPr>
          <w:t xml:space="preserve">Estimating Homelessness: Census, 2021 | Australian Bureau of Statistics (abs.gov.au)</w:t>
        </w:r>
      </w:hyperlink>
    </w:p>
    <w:p>
      <w:pPr>
        <w:numPr>
          <w:ilvl w:val="0"/>
          <w:numId w:val="1001"/>
        </w:numPr>
        <w:pStyle w:val="Compact"/>
      </w:pPr>
      <w:hyperlink r:id="rId39">
        <w:r>
          <w:rPr>
            <w:rStyle w:val="Hyperlink"/>
          </w:rPr>
          <w:t xml:space="preserve">Small Area Labour Markets | National Skills Commission</w:t>
        </w:r>
      </w:hyperlink>
    </w:p>
    <w:p>
      <w:pPr>
        <w:numPr>
          <w:ilvl w:val="0"/>
          <w:numId w:val="1001"/>
        </w:numPr>
        <w:pStyle w:val="Compact"/>
      </w:pPr>
      <w:hyperlink r:id="rId40">
        <w:r>
          <w:rPr>
            <w:rStyle w:val="Hyperlink"/>
          </w:rPr>
          <w:t xml:space="preserve">Socio-Economic Indexes for Areas (SEIFA), Australia, 2021 | Australian Bureau of Statistics (abs.gov.au)</w:t>
        </w:r>
      </w:hyperlink>
    </w:p>
    <w:p>
      <w:pPr>
        <w:numPr>
          <w:ilvl w:val="0"/>
          <w:numId w:val="1001"/>
        </w:numPr>
        <w:pStyle w:val="Compact"/>
      </w:pPr>
      <w:hyperlink r:id="rId41">
        <w:r>
          <w:rPr>
            <w:rStyle w:val="Hyperlink"/>
          </w:rPr>
          <w:t xml:space="preserve">EconomyID</w:t>
        </w:r>
      </w:hyperlink>
    </w:p>
    <w:p>
      <w:pPr>
        <w:numPr>
          <w:ilvl w:val="0"/>
          <w:numId w:val="1001"/>
        </w:numPr>
        <w:pStyle w:val="Compact"/>
      </w:pPr>
      <w:hyperlink r:id="rId42">
        <w:r>
          <w:rPr>
            <w:rStyle w:val="Hyperlink"/>
          </w:rPr>
          <w:t xml:space="preserve">Counts of Australian Businesses, including Entries and Exits, July 2018 - June 2022 | Australian Bureau of Statistics (abs.gov.au)</w:t>
        </w:r>
      </w:hyperlink>
    </w:p>
    <w:p>
      <w:pPr>
        <w:numPr>
          <w:ilvl w:val="0"/>
          <w:numId w:val="1001"/>
        </w:numPr>
        <w:pStyle w:val="Compact"/>
      </w:pPr>
      <w:hyperlink r:id="rId43">
        <w:r>
          <w:rPr>
            <w:rStyle w:val="Hyperlink"/>
          </w:rPr>
          <w:t xml:space="preserve">Regional population by age and sex, 2021 | Australian Bureau of Statistics (abs.gov.au)</w:t>
        </w:r>
      </w:hyperlink>
    </w:p>
    <w:p>
      <w:pPr>
        <w:numPr>
          <w:ilvl w:val="0"/>
          <w:numId w:val="1001"/>
        </w:numPr>
        <w:pStyle w:val="Compact"/>
      </w:pPr>
      <w:hyperlink r:id="rId44">
        <w:r>
          <w:rPr>
            <w:rStyle w:val="Hyperlink"/>
          </w:rPr>
          <w:t xml:space="preserve">Labour Force, Australia, Detailed, May 2023 | Australian Bureau of Statistics (abs.gov.au)</w:t>
        </w:r>
      </w:hyperlink>
    </w:p>
    <w:p>
      <w:pPr>
        <w:numPr>
          <w:ilvl w:val="0"/>
          <w:numId w:val="1001"/>
        </w:numPr>
        <w:pStyle w:val="Compact"/>
      </w:pPr>
      <w:hyperlink r:id="rId45">
        <w:r>
          <w:rPr>
            <w:rStyle w:val="Hyperlink"/>
          </w:rPr>
          <w:t xml:space="preserve">Personal Income in Australia, 2015-16 to 2019-20 | Australian Bureau of Statistics (abs.gov.au)</w:t>
        </w:r>
      </w:hyperlink>
    </w:p>
    <w:p>
      <w:pPr>
        <w:pStyle w:val="FirstParagraph"/>
      </w:pPr>
      <w:r>
        <w:t xml:space="preserve">The data is maintained by these third-party providers. While every effort has been made to ensure the accuracy of this information, no guarantee is given.</w:t>
      </w:r>
    </w:p>
    <w:bookmarkEnd w:id="46"/>
    <w:bookmarkEnd w:id="47"/>
    <w:bookmarkEnd w:id="48"/>
    <w:sectPr w:rsidR="00072A22" w:rsidRPr="00B306BE" w:rsidSect="00AE705B">
      <w:headerReference r:id="rId9" w:type="default"/>
      <w:pgSz w:h="16838" w:w="11906"/>
      <w:pgMar w:bottom="1452" w:footer="709" w:gutter="0" w:header="709" w:left="720" w:right="720" w:top="720"/>
      <w:cols w:space="708"/>
      <w:docGrid w:linePitch="36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1A59" w:rsidRDefault="00665456" w:rsidP="005919F1">
    <w:pPr>
      <w:pStyle w:val="Header"/>
      <w:jc w:val="center"/>
    </w:pPr>
    <w:r>
      <w:rPr>
        <w:noProof/>
        <w:lang w:eastAsia="en-AU"/>
      </w:rPr>
      <w:drawing>
        <wp:anchor distT="0" distB="0" distL="114300" distR="114300" simplePos="0" relativeHeight="251659264" behindDoc="1" locked="1" layoutInCell="1" allowOverlap="0" wp14:anchorId="32E01AFA" wp14:editId="5A77BF23">
          <wp:simplePos x="0" y="0"/>
          <wp:positionH relativeFrom="page">
            <wp:align>left</wp:align>
          </wp:positionH>
          <wp:positionV relativeFrom="page">
            <wp:align>bottom</wp:align>
          </wp:positionV>
          <wp:extent cx="7588250" cy="107315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EMA_ONE-PAGE-LANDSCAPE_A4.png"/>
                  <pic:cNvPicPr/>
                </pic:nvPicPr>
                <pic:blipFill>
                  <a:blip r:embed="rId1">
                    <a:extLst>
                      <a:ext uri="{28A0092B-C50C-407E-A947-70E740481C1C}">
                        <a14:useLocalDpi xmlns:a14="http://schemas.microsoft.com/office/drawing/2010/main" val="0"/>
                      </a:ext>
                    </a:extLst>
                  </a:blip>
                  <a:stretch>
                    <a:fillRect/>
                  </a:stretch>
                </pic:blipFill>
                <pic:spPr>
                  <a:xfrm>
                    <a:off x="0" y="0"/>
                    <a:ext cx="7588250" cy="107315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abstractNum w15:restartNumberingAfterBreak="0" w:abstractNumId="0">
    <w:nsid w:val="4C1C1748"/>
    <w:multiLevelType w:val="hybridMultilevel"/>
    <w:tmpl w:val="0ECE77F6"/>
    <w:lvl w:ilvl="0" w:tplc="0C090001">
      <w:start w:val="1"/>
      <w:numFmt w:val="bullet"/>
      <w:lvlText w:val=""/>
      <w:lvlJc w:val="left"/>
      <w:pPr>
        <w:ind w:hanging="360" w:left="720"/>
      </w:pPr>
      <w:rPr>
        <w:rFonts w:ascii="Symbol" w:hAnsi="Symbol" w:hint="default"/>
      </w:rPr>
    </w:lvl>
    <w:lvl w:ilvl="1" w:tentative="1" w:tplc="0C090003">
      <w:start w:val="1"/>
      <w:numFmt w:val="bullet"/>
      <w:lvlText w:val="o"/>
      <w:lvlJc w:val="left"/>
      <w:pPr>
        <w:ind w:hanging="360" w:left="1440"/>
      </w:pPr>
      <w:rPr>
        <w:rFonts w:ascii="Courier New" w:cs="Courier New" w:hAnsi="Courier New" w:hint="default"/>
      </w:rPr>
    </w:lvl>
    <w:lvl w:ilvl="2" w:tentative="1" w:tplc="0C090005">
      <w:start w:val="1"/>
      <w:numFmt w:val="bullet"/>
      <w:lvlText w:val=""/>
      <w:lvlJc w:val="left"/>
      <w:pPr>
        <w:ind w:hanging="360" w:left="2160"/>
      </w:pPr>
      <w:rPr>
        <w:rFonts w:ascii="Wingdings" w:hAnsi="Wingdings" w:hint="default"/>
      </w:rPr>
    </w:lvl>
    <w:lvl w:ilvl="3" w:tentative="1" w:tplc="0C090001">
      <w:start w:val="1"/>
      <w:numFmt w:val="bullet"/>
      <w:lvlText w:val=""/>
      <w:lvlJc w:val="left"/>
      <w:pPr>
        <w:ind w:hanging="360" w:left="2880"/>
      </w:pPr>
      <w:rPr>
        <w:rFonts w:ascii="Symbol" w:hAnsi="Symbol" w:hint="default"/>
      </w:rPr>
    </w:lvl>
    <w:lvl w:ilvl="4" w:tentative="1" w:tplc="0C090003">
      <w:start w:val="1"/>
      <w:numFmt w:val="bullet"/>
      <w:lvlText w:val="o"/>
      <w:lvlJc w:val="left"/>
      <w:pPr>
        <w:ind w:hanging="360" w:left="3600"/>
      </w:pPr>
      <w:rPr>
        <w:rFonts w:ascii="Courier New" w:cs="Courier New" w:hAnsi="Courier New" w:hint="default"/>
      </w:rPr>
    </w:lvl>
    <w:lvl w:ilvl="5" w:tentative="1" w:tplc="0C090005">
      <w:start w:val="1"/>
      <w:numFmt w:val="bullet"/>
      <w:lvlText w:val=""/>
      <w:lvlJc w:val="left"/>
      <w:pPr>
        <w:ind w:hanging="360" w:left="4320"/>
      </w:pPr>
      <w:rPr>
        <w:rFonts w:ascii="Wingdings" w:hAnsi="Wingdings" w:hint="default"/>
      </w:rPr>
    </w:lvl>
    <w:lvl w:ilvl="6" w:tentative="1" w:tplc="0C090001">
      <w:start w:val="1"/>
      <w:numFmt w:val="bullet"/>
      <w:lvlText w:val=""/>
      <w:lvlJc w:val="left"/>
      <w:pPr>
        <w:ind w:hanging="360" w:left="5040"/>
      </w:pPr>
      <w:rPr>
        <w:rFonts w:ascii="Symbol" w:hAnsi="Symbol" w:hint="default"/>
      </w:rPr>
    </w:lvl>
    <w:lvl w:ilvl="7" w:tentative="1" w:tplc="0C090003">
      <w:start w:val="1"/>
      <w:numFmt w:val="bullet"/>
      <w:lvlText w:val="o"/>
      <w:lvlJc w:val="left"/>
      <w:pPr>
        <w:ind w:hanging="360" w:left="5760"/>
      </w:pPr>
      <w:rPr>
        <w:rFonts w:ascii="Courier New" w:cs="Courier New" w:hAnsi="Courier New" w:hint="default"/>
      </w:rPr>
    </w:lvl>
    <w:lvl w:ilvl="8" w:tentative="1" w:tplc="0C090005">
      <w:start w:val="1"/>
      <w:numFmt w:val="bullet"/>
      <w:lvlText w:val=""/>
      <w:lvlJc w:val="left"/>
      <w:pPr>
        <w:ind w:hanging="360" w:left="6480"/>
      </w:pPr>
      <w:rPr>
        <w:rFonts w:ascii="Wingdings" w:hAnsi="Wingdings" w:hint="default"/>
      </w:rPr>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embedSystemFonts/>
  <w:proofState w:grammar="clean" w:spelling="clean"/>
  <w:stylePaneFormatFilter w:val="0004"/>
  <w:footnotePr>
    <w:footnote w:id="-1"/>
    <w:footnote w:id="0"/>
  </w:footnotePr>
  <w:doNotTrackMoves/>
  <w:drawingGridHorizontalSpacing w:val="360"/>
  <w:drawingGridVerticalSpacing w:val="360"/>
  <w:displayHorizontalDrawingGridEvery w:val="0"/>
  <w:displayVerticalDrawingGridEvery w:val="0"/>
  <w:savePreviewPicture/>
  <w:rsids>
  </w:rsids>
  <w:clrSchemeMapping w:accent1="accent1" w:accent2="accent2" w:accent3="accent3" w:accent4="accent4" w:accent5="accent5" w:accent6="accent6" w:bg1="light1" w:bg2="light2" w:followedHyperlink="followedHyperlink" w:hyperlink="hyperlink" w:t1="dark1" w:t2="dark2"/>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AU"/>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cstheme="minorBidi" w:eastAsiaTheme="minorHAnsi" w:hAnsiTheme="minorHAnsi"/>
        <w:sz w:val="22"/>
        <w:szCs w:val="22"/>
        <w:lang w:bidi="ar-SA" w:eastAsia="en-US" w:val="en-AU"/>
      </w:rPr>
    </w:rPrDefault>
    <w:pPrDefault>
      <w:pPr>
        <w:spacing w:after="160" w:line="259" w:lineRule="auto"/>
      </w:pPr>
    </w:pPrDefault>
  </w:docDefaults>
  <w:latentStyles w:count="371" w:defLockedState="0" w:defQFormat="0" w:defSemiHidden="0" w:defUIPriority="99" w:defUnhideWhenUsed="0">
    <w:lsdException w:name="Normal" w:qFormat="1" w:uiPriority="0"/>
    <w:lsdException w:name="heading 1" w:qFormat="1" w:uiPriority="9"/>
    <w:lsdException w:name="heading 2" w:qFormat="1" w:semiHidden="1" w:uiPriority="9" w:unhideWhenUsed="1"/>
    <w:lsdException w:name="heading 3" w:qFormat="1" w:semiHidden="1" w:uiPriority="9" w:unhideWhenUsed="1"/>
    <w:lsdException w:name="heading 4" w:qFormat="1" w:semiHidden="1" w:uiPriority="9" w:unhideWhenUsed="1"/>
    <w:lsdException w:name="heading 5" w:qFormat="1" w:semiHidden="1" w:uiPriority="9" w:unhideWhenUsed="1"/>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qFormat="1"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uiPriority="22"/>
    <w:lsdException w:name="Emphasis" w:qFormat="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uiPriority="34"/>
    <w:lsdException w:name="Quote" w:qFormat="1" w:uiPriority="29"/>
    <w:lsdException w:name="Intense Quote" w:qFormat="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uiPriority="19"/>
    <w:lsdException w:name="Intense Emphasis" w:qFormat="1" w:uiPriority="21"/>
    <w:lsdException w:name="Subtle Reference" w:qFormat="1" w:uiPriority="31"/>
    <w:lsdException w:name="Intense Reference" w:qFormat="1" w:uiPriority="32"/>
    <w:lsdException w:name="Book Title" w:qFormat="1" w:uiPriority="33"/>
    <w:lsdException w:name="Bibliography" w:semiHidden="1" w:uiPriority="37" w:unhideWhenUsed="1"/>
    <w:lsdException w:name="TOC Heading" w:qFormat="1"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default="1" w:styleId="Normal" w:type="paragraph">
    <w:name w:val="Normal"/>
    <w:qFormat/>
    <w:rsid w:val="00072A22"/>
    <w:pPr>
      <w:spacing w:after="280" w:before="120" w:line="264" w:lineRule="auto"/>
    </w:pPr>
    <w:rPr>
      <w:rFonts w:ascii="Arial" w:hAnsi="Arial"/>
      <w:sz w:val="20"/>
    </w:rPr>
  </w:style>
  <w:style w:styleId="Heading1" w:type="paragraph">
    <w:name w:val="heading 1"/>
    <w:basedOn w:val="Normal"/>
    <w:next w:val="Normal"/>
    <w:link w:val="Heading1Char"/>
    <w:uiPriority w:val="9"/>
    <w:qFormat/>
    <w:rsid w:val="00072A22"/>
    <w:pPr>
      <w:keepNext/>
      <w:keepLines/>
      <w:spacing w:after="240" w:before="240"/>
      <w:outlineLvl w:val="0"/>
    </w:pPr>
    <w:rPr>
      <w:rFonts w:cs="Arial" w:eastAsia="Times New Roman"/>
      <w:b/>
      <w:sz w:val="36"/>
      <w:szCs w:val="32"/>
    </w:rPr>
  </w:style>
  <w:style w:styleId="Heading2" w:type="paragraph">
    <w:name w:val="heading 2"/>
    <w:basedOn w:val="Normal"/>
    <w:next w:val="Normal"/>
    <w:link w:val="Heading2Char"/>
    <w:uiPriority w:val="9"/>
    <w:unhideWhenUsed/>
    <w:qFormat/>
    <w:rsid w:val="00072A22"/>
    <w:pPr>
      <w:keepNext/>
      <w:keepLines/>
      <w:spacing w:after="180" w:before="40"/>
      <w:outlineLvl w:val="1"/>
    </w:pPr>
    <w:rPr>
      <w:rFonts w:cs="Arial" w:eastAsia="Times New Roman"/>
      <w:b/>
      <w:color w:val="003E5A"/>
      <w:sz w:val="28"/>
      <w:szCs w:val="26"/>
    </w:rPr>
  </w:style>
  <w:style w:styleId="Heading3" w:type="paragraph">
    <w:name w:val="heading 3"/>
    <w:basedOn w:val="IntroPara"/>
    <w:next w:val="Normal"/>
    <w:link w:val="Heading3Char"/>
    <w:uiPriority w:val="9"/>
    <w:unhideWhenUsed/>
    <w:qFormat/>
    <w:rsid w:val="00072A22"/>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Header" w:type="paragraph">
    <w:name w:val="header"/>
    <w:basedOn w:val="Normal"/>
    <w:link w:val="HeaderChar"/>
    <w:uiPriority w:val="99"/>
    <w:unhideWhenUsed/>
    <w:rsid w:val="003C1A59"/>
    <w:pPr>
      <w:tabs>
        <w:tab w:pos="4513" w:val="center"/>
        <w:tab w:pos="9026" w:val="right"/>
      </w:tabs>
      <w:spacing w:after="0" w:line="240" w:lineRule="auto"/>
    </w:pPr>
  </w:style>
  <w:style w:customStyle="1" w:styleId="HeaderChar" w:type="character">
    <w:name w:val="Header Char"/>
    <w:basedOn w:val="DefaultParagraphFont"/>
    <w:link w:val="Header"/>
    <w:uiPriority w:val="99"/>
    <w:rsid w:val="003C1A59"/>
  </w:style>
  <w:style w:styleId="Footer" w:type="paragraph">
    <w:name w:val="footer"/>
    <w:basedOn w:val="Normal"/>
    <w:link w:val="FooterChar"/>
    <w:uiPriority w:val="99"/>
    <w:unhideWhenUsed/>
    <w:rsid w:val="003C1A59"/>
    <w:pPr>
      <w:tabs>
        <w:tab w:pos="4513" w:val="center"/>
        <w:tab w:pos="9026" w:val="right"/>
      </w:tabs>
      <w:spacing w:after="0" w:line="240" w:lineRule="auto"/>
    </w:pPr>
  </w:style>
  <w:style w:customStyle="1" w:styleId="FooterChar" w:type="character">
    <w:name w:val="Footer Char"/>
    <w:basedOn w:val="DefaultParagraphFont"/>
    <w:link w:val="Footer"/>
    <w:uiPriority w:val="99"/>
    <w:rsid w:val="003C1A59"/>
  </w:style>
  <w:style w:customStyle="1" w:styleId="Heading1Char" w:type="character">
    <w:name w:val="Heading 1 Char"/>
    <w:basedOn w:val="DefaultParagraphFont"/>
    <w:link w:val="Heading1"/>
    <w:uiPriority w:val="9"/>
    <w:rsid w:val="00072A22"/>
    <w:rPr>
      <w:rFonts w:ascii="Arial" w:cs="Arial" w:eastAsia="Times New Roman" w:hAnsi="Arial"/>
      <w:b/>
      <w:sz w:val="36"/>
      <w:szCs w:val="32"/>
    </w:rPr>
  </w:style>
  <w:style w:customStyle="1" w:styleId="Heading2Char" w:type="character">
    <w:name w:val="Heading 2 Char"/>
    <w:basedOn w:val="DefaultParagraphFont"/>
    <w:link w:val="Heading2"/>
    <w:uiPriority w:val="9"/>
    <w:rsid w:val="00072A22"/>
    <w:rPr>
      <w:rFonts w:ascii="Arial" w:cs="Arial" w:eastAsia="Times New Roman" w:hAnsi="Arial"/>
      <w:b/>
      <w:color w:val="003E5A"/>
      <w:sz w:val="28"/>
      <w:szCs w:val="26"/>
    </w:rPr>
  </w:style>
  <w:style w:customStyle="1" w:styleId="Heading3Char" w:type="character">
    <w:name w:val="Heading 3 Char"/>
    <w:basedOn w:val="DefaultParagraphFont"/>
    <w:link w:val="Heading3"/>
    <w:uiPriority w:val="9"/>
    <w:rsid w:val="00072A22"/>
    <w:rPr>
      <w:rFonts w:ascii="Arial" w:cs="Arial" w:eastAsia="Century Gothic" w:hAnsi="Arial"/>
      <w:b/>
      <w:color w:val="232E3F"/>
    </w:rPr>
  </w:style>
  <w:style w:customStyle="1" w:styleId="IntroPara" w:type="paragraph">
    <w:name w:val="Intro Para"/>
    <w:basedOn w:val="Normal"/>
    <w:qFormat/>
    <w:rsid w:val="00072A22"/>
    <w:pPr>
      <w:outlineLvl w:val="2"/>
    </w:pPr>
    <w:rPr>
      <w:rFonts w:cs="Arial" w:eastAsia="Century Gothic"/>
      <w:b/>
      <w:color w:val="232E3F"/>
      <w:sz w:val="22"/>
    </w:rPr>
  </w:style>
  <w:style w:styleId="ListParagraph" w:type="paragraph">
    <w:name w:val="List Paragraph"/>
    <w:basedOn w:val="Normal"/>
    <w:uiPriority w:val="34"/>
    <w:qFormat/>
    <w:rsid w:val="00B306BE"/>
    <w:pPr>
      <w:ind w:firstLine="284" w:left="284"/>
    </w:pPr>
  </w:style>
  <w:style w:customStyle="1" w:styleId="Style1" w:type="paragraph">
    <w:name w:val="Style1"/>
    <w:basedOn w:val="Heading1"/>
    <w:link w:val="Style1Char"/>
    <w:autoRedefine/>
    <w:qFormat/>
    <w:rsid w:val="00072A22"/>
  </w:style>
  <w:style w:customStyle="1" w:styleId="Style2" w:type="paragraph">
    <w:name w:val="Style2"/>
    <w:basedOn w:val="Heading2"/>
    <w:link w:val="Style2Char"/>
    <w:autoRedefine/>
    <w:qFormat/>
    <w:rsid w:val="00072A22"/>
  </w:style>
  <w:style w:customStyle="1" w:styleId="Style1Char" w:type="character">
    <w:name w:val="Style1 Char"/>
    <w:basedOn w:val="Heading1Char"/>
    <w:link w:val="Style1"/>
    <w:rsid w:val="00072A22"/>
    <w:rPr>
      <w:rFonts w:ascii="Arial" w:cs="Arial" w:eastAsia="Times New Roman" w:hAnsi="Arial"/>
      <w:b/>
      <w:sz w:val="36"/>
      <w:szCs w:val="32"/>
    </w:rPr>
  </w:style>
  <w:style w:customStyle="1" w:styleId="Style3" w:type="paragraph">
    <w:name w:val="Style3"/>
    <w:basedOn w:val="Heading3"/>
    <w:link w:val="Style3Char"/>
    <w:autoRedefine/>
    <w:qFormat/>
    <w:rsid w:val="00B306BE"/>
    <w:rPr>
      <w:color w:val="007816"/>
    </w:rPr>
  </w:style>
  <w:style w:customStyle="1" w:styleId="Style2Char" w:type="character">
    <w:name w:val="Style2 Char"/>
    <w:basedOn w:val="Heading2Char"/>
    <w:link w:val="Style2"/>
    <w:rsid w:val="00072A22"/>
    <w:rPr>
      <w:rFonts w:ascii="Arial" w:cs="Arial" w:eastAsia="Times New Roman" w:hAnsi="Arial"/>
      <w:b/>
      <w:color w:val="003E5A"/>
      <w:sz w:val="28"/>
      <w:szCs w:val="26"/>
    </w:rPr>
  </w:style>
  <w:style w:customStyle="1" w:styleId="Style3Char" w:type="character">
    <w:name w:val="Style3 Char"/>
    <w:basedOn w:val="Heading3Char"/>
    <w:link w:val="Style3"/>
    <w:rsid w:val="00B306BE"/>
    <w:rPr>
      <w:rFonts w:ascii="Arial" w:cs="Arial" w:eastAsiaTheme="majorEastAsia" w:hAnsi="Arial"/>
      <w:b/>
      <w:color w:val="007816"/>
      <w:sz w:val="24"/>
      <w:szCs w:val="24"/>
    </w:rPr>
  </w:style>
  <w:style w:customStyle="1" w:styleId="CLASSIFICATION" w:type="paragraph">
    <w:name w:val="CLASSIFICATION"/>
    <w:basedOn w:val="Normal"/>
    <w:link w:val="CLASSIFICATIONChar"/>
    <w:autoRedefine/>
    <w:uiPriority w:val="99"/>
    <w:unhideWhenUsed/>
    <w:rsid w:val="005919F1"/>
    <w:pPr>
      <w:jc w:val="center"/>
    </w:pPr>
    <w:rPr>
      <w:rFonts w:ascii="Segoe UI" w:eastAsiaTheme="minorEastAsia" w:hAnsi="Segoe UI"/>
      <w:caps/>
      <w:color w:val="C00000"/>
      <w:sz w:val="18"/>
      <w:szCs w:val="21"/>
    </w:rPr>
  </w:style>
  <w:style w:customStyle="1" w:styleId="CLASSIFICATIONChar" w:type="character">
    <w:name w:val="CLASSIFICATION Char"/>
    <w:basedOn w:val="DefaultParagraphFont"/>
    <w:link w:val="CLASSIFICATION"/>
    <w:uiPriority w:val="99"/>
    <w:rsid w:val="005919F1"/>
    <w:rPr>
      <w:rFonts w:ascii="Segoe UI" w:eastAsiaTheme="minorEastAsia" w:hAnsi="Segoe UI"/>
      <w:caps/>
      <w:color w:val="C00000"/>
      <w:sz w:val="18"/>
      <w:szCs w:val="21"/>
    </w:rPr>
  </w:style>
  <w:style w:styleId="Hyperlink" w:type="character">
    <w:name w:val="Hyperlink"/>
    <w:basedOn w:val="DefaultParagraphFont"/>
    <w:uiPriority w:val="99"/>
    <w:unhideWhenUsed/>
    <w:rsid w:val="00072A22"/>
    <w:rPr>
      <w:rFonts w:cs="Arial"/>
      <w:u w:val="single"/>
    </w:rPr>
  </w:style>
  <w:style w:customStyle="1" w:styleId="Table" w:type="table">
    <w:name w:val="Table"/>
    <w:basedOn w:val="TableNormal"/>
    <w:uiPriority w:val="99"/>
    <w:rsid w:val="00072A22"/>
    <w:pPr>
      <w:spacing w:after="0" w:line="240" w:lineRule="auto"/>
    </w:pPr>
    <w:tblPr/>
  </w:style>
  <w:style w:type="paragraph" w:customStyle="1" w:styleId="SourceCode">
    <w:name w:val="Source Code"/>
    <w:basedOn w:val="Normal"/>
    <w:link w:val="VerbatimChar"/>
    <w:pPr>
      <w:wordWrap w:val="off"/>
      <w:shd w:val="clear" w:fill="f8f8f8"/>
    </w:pPr>
  </w:style>
  <w:style w:type="character" w:customStyle="1" w:styleId="KeywordTok">
    <w:name w:val="KeywordTok"/>
    <w:basedOn w:val="VerbatimChar"/>
    <w:rPr>
      <w:color w:val="204a87"/>
      <w:shd w:val="clear" w:fill="f8f8f8"/>
      <w:b/>
    </w:rPr>
  </w:style>
  <w:style w:type="character" w:customStyle="1" w:styleId="DataTypeTok">
    <w:name w:val="DataTypeTok"/>
    <w:basedOn w:val="VerbatimChar"/>
    <w:rPr>
      <w:color w:val="204a87"/>
      <w:shd w:val="clear" w:fill="f8f8f8"/>
    </w:rPr>
  </w:style>
  <w:style w:type="character" w:customStyle="1" w:styleId="DecValTok">
    <w:name w:val="DecValTok"/>
    <w:basedOn w:val="VerbatimChar"/>
    <w:rPr>
      <w:color w:val="0000cf"/>
      <w:shd w:val="clear" w:fill="f8f8f8"/>
    </w:rPr>
  </w:style>
  <w:style w:type="character" w:customStyle="1" w:styleId="BaseNTok">
    <w:name w:val="BaseNTok"/>
    <w:basedOn w:val="VerbatimChar"/>
    <w:rPr>
      <w:color w:val="0000cf"/>
      <w:shd w:val="clear" w:fill="f8f8f8"/>
    </w:rPr>
  </w:style>
  <w:style w:type="character" w:customStyle="1" w:styleId="FloatTok">
    <w:name w:val="FloatTok"/>
    <w:basedOn w:val="VerbatimChar"/>
    <w:rPr>
      <w:color w:val="0000cf"/>
      <w:shd w:val="clear" w:fill="f8f8f8"/>
    </w:rPr>
  </w:style>
  <w:style w:type="character" w:customStyle="1" w:styleId="ConstantTok">
    <w:name w:val="ConstantTok"/>
    <w:basedOn w:val="VerbatimChar"/>
    <w:rPr>
      <w:color w:val="8f5902"/>
      <w:shd w:val="clear" w:fill="f8f8f8"/>
    </w:rPr>
  </w:style>
  <w:style w:type="character" w:customStyle="1" w:styleId="CharTok">
    <w:name w:val="CharTok"/>
    <w:basedOn w:val="VerbatimChar"/>
    <w:rPr>
      <w:color w:val="4e9a06"/>
      <w:shd w:val="clear" w:fill="f8f8f8"/>
    </w:rPr>
  </w:style>
  <w:style w:type="character" w:customStyle="1" w:styleId="SpecialCharTok">
    <w:name w:val="SpecialCharTok"/>
    <w:basedOn w:val="VerbatimChar"/>
    <w:rPr>
      <w:color w:val="ce5c00"/>
      <w:shd w:val="clear" w:fill="f8f8f8"/>
      <w:b/>
    </w:rPr>
  </w:style>
  <w:style w:type="character" w:customStyle="1" w:styleId="StringTok">
    <w:name w:val="StringTok"/>
    <w:basedOn w:val="VerbatimChar"/>
    <w:rPr>
      <w:color w:val="4e9a06"/>
      <w:shd w:val="clear" w:fill="f8f8f8"/>
    </w:rPr>
  </w:style>
  <w:style w:type="character" w:customStyle="1" w:styleId="VerbatimStringTok">
    <w:name w:val="VerbatimStringTok"/>
    <w:basedOn w:val="VerbatimChar"/>
    <w:rPr>
      <w:color w:val="4e9a06"/>
      <w:shd w:val="clear" w:fill="f8f8f8"/>
    </w:rPr>
  </w:style>
  <w:style w:type="character" w:customStyle="1" w:styleId="SpecialStringTok">
    <w:name w:val="SpecialStringTok"/>
    <w:basedOn w:val="VerbatimChar"/>
    <w:rPr>
      <w:color w:val="4e9a06"/>
      <w:shd w:val="clear" w:fill="f8f8f8"/>
    </w:rPr>
  </w:style>
  <w:style w:type="character" w:customStyle="1" w:styleId="ImportTok">
    <w:name w:val="ImportTok"/>
    <w:basedOn w:val="VerbatimChar"/>
    <w:rPr>
      <w:shd w:val="clear" w:fill="f8f8f8"/>
    </w:rPr>
  </w:style>
  <w:style w:type="character" w:customStyle="1" w:styleId="CommentTok">
    <w:name w:val="CommentTok"/>
    <w:basedOn w:val="VerbatimChar"/>
    <w:rPr>
      <w:color w:val="8f5902"/>
      <w:shd w:val="clear" w:fill="f8f8f8"/>
      <w:i/>
    </w:rPr>
  </w:style>
  <w:style w:type="character" w:customStyle="1" w:styleId="DocumentationTok">
    <w:name w:val="DocumentationTok"/>
    <w:basedOn w:val="VerbatimChar"/>
    <w:rPr>
      <w:color w:val="8f5902"/>
      <w:shd w:val="clear" w:fill="f8f8f8"/>
      <w:b/>
      <w:i/>
    </w:rPr>
  </w:style>
  <w:style w:type="character" w:customStyle="1" w:styleId="AnnotationTok">
    <w:name w:val="AnnotationTok"/>
    <w:basedOn w:val="VerbatimChar"/>
    <w:rPr>
      <w:color w:val="8f5902"/>
      <w:shd w:val="clear" w:fill="f8f8f8"/>
      <w:b/>
      <w:i/>
    </w:rPr>
  </w:style>
  <w:style w:type="character" w:customStyle="1" w:styleId="CommentVarTok">
    <w:name w:val="CommentVarTok"/>
    <w:basedOn w:val="VerbatimChar"/>
    <w:rPr>
      <w:color w:val="8f5902"/>
      <w:shd w:val="clear" w:fill="f8f8f8"/>
      <w:b/>
      <w:i/>
    </w:rPr>
  </w:style>
  <w:style w:type="character" w:customStyle="1" w:styleId="OtherTok">
    <w:name w:val="OtherTok"/>
    <w:basedOn w:val="VerbatimChar"/>
    <w:rPr>
      <w:color w:val="8f5902"/>
      <w:shd w:val="clear" w:fill="f8f8f8"/>
    </w:rPr>
  </w:style>
  <w:style w:type="character" w:customStyle="1" w:styleId="FunctionTok">
    <w:name w:val="FunctionTok"/>
    <w:basedOn w:val="VerbatimChar"/>
    <w:rPr>
      <w:color w:val="204a87"/>
      <w:shd w:val="clear" w:fill="f8f8f8"/>
      <w:b/>
    </w:rPr>
  </w:style>
  <w:style w:type="character" w:customStyle="1" w:styleId="VariableTok">
    <w:name w:val="VariableTok"/>
    <w:basedOn w:val="VerbatimChar"/>
    <w:rPr>
      <w:color w:val="000000"/>
      <w:shd w:val="clear" w:fill="f8f8f8"/>
    </w:rPr>
  </w:style>
  <w:style w:type="character" w:customStyle="1" w:styleId="ControlFlowTok">
    <w:name w:val="ControlFlowTok"/>
    <w:basedOn w:val="VerbatimChar"/>
    <w:rPr>
      <w:color w:val="204a87"/>
      <w:shd w:val="clear" w:fill="f8f8f8"/>
      <w:b/>
    </w:rPr>
  </w:style>
  <w:style w:type="character" w:customStyle="1" w:styleId="OperatorTok">
    <w:name w:val="OperatorTok"/>
    <w:basedOn w:val="VerbatimChar"/>
    <w:rPr>
      <w:color w:val="ce5c00"/>
      <w:shd w:val="clear" w:fill="f8f8f8"/>
      <w:b/>
    </w:rPr>
  </w:style>
  <w:style w:type="character" w:customStyle="1" w:styleId="BuiltInTok">
    <w:name w:val="BuiltInTok"/>
    <w:basedOn w:val="VerbatimChar"/>
    <w:rPr>
      <w:shd w:val="clear" w:fill="f8f8f8"/>
    </w:rPr>
  </w:style>
  <w:style w:type="character" w:customStyle="1" w:styleId="ExtensionTok">
    <w:name w:val="ExtensionTok"/>
    <w:basedOn w:val="VerbatimChar"/>
    <w:rPr>
      <w:shd w:val="clear" w:fill="f8f8f8"/>
    </w:rPr>
  </w:style>
  <w:style w:type="character" w:customStyle="1" w:styleId="PreprocessorTok">
    <w:name w:val="PreprocessorTok"/>
    <w:basedOn w:val="VerbatimChar"/>
    <w:rPr>
      <w:color w:val="8f5902"/>
      <w:shd w:val="clear" w:fill="f8f8f8"/>
      <w:i/>
    </w:rPr>
  </w:style>
  <w:style w:type="character" w:customStyle="1" w:styleId="AttributeTok">
    <w:name w:val="AttributeTok"/>
    <w:basedOn w:val="VerbatimChar"/>
    <w:rPr>
      <w:color w:val="204a87"/>
      <w:shd w:val="clear" w:fill="f8f8f8"/>
    </w:rPr>
  </w:style>
  <w:style w:type="character" w:customStyle="1" w:styleId="RegionMarkerTok">
    <w:name w:val="RegionMarkerTok"/>
    <w:basedOn w:val="VerbatimChar"/>
    <w:rPr>
      <w:shd w:val="clear" w:fill="f8f8f8"/>
    </w:rPr>
  </w:style>
  <w:style w:type="character" w:customStyle="1" w:styleId="InformationTok">
    <w:name w:val="InformationTok"/>
    <w:basedOn w:val="VerbatimChar"/>
    <w:rPr>
      <w:color w:val="8f5902"/>
      <w:shd w:val="clear" w:fill="f8f8f8"/>
      <w:b/>
      <w:i/>
    </w:rPr>
  </w:style>
  <w:style w:type="character" w:customStyle="1" w:styleId="WarningTok">
    <w:name w:val="WarningTok"/>
    <w:basedOn w:val="VerbatimChar"/>
    <w:rPr>
      <w:color w:val="8f5902"/>
      <w:shd w:val="clear" w:fill="f8f8f8"/>
      <w:b/>
      <w:i/>
    </w:rPr>
  </w:style>
  <w:style w:type="character" w:customStyle="1" w:styleId="AlertTok">
    <w:name w:val="AlertTok"/>
    <w:basedOn w:val="VerbatimChar"/>
    <w:rPr>
      <w:color w:val="ef2929"/>
      <w:shd w:val="clear" w:fill="f8f8f8"/>
    </w:rPr>
  </w:style>
  <w:style w:type="character" w:customStyle="1" w:styleId="ErrorTok">
    <w:name w:val="ErrorTok"/>
    <w:basedOn w:val="VerbatimChar"/>
    <w:rPr>
      <w:color w:val="a40000"/>
      <w:shd w:val="clear" w:fill="f8f8f8"/>
      <w:b/>
    </w:rPr>
  </w:style>
  <w:style w:type="character" w:customStyle="1" w:styleId="NormalTok">
    <w:name w:val="NormalTok"/>
    <w:basedOn w:val="VerbatimChar"/>
    <w:rPr>
      <w:shd w:val="clear" w:fill="f8f8f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1.xml" Type="http://schemas.openxmlformats.org/officeDocument/2006/relationships/header" /><Relationship Type="http://schemas.openxmlformats.org/officeDocument/2006/relationships/hyperlink" Id="rId37" Target="https://data.gov.au/dataset/ds-dga-cff2ae8a-55e4-47db-a66d-e177fe0ac6a0/details" TargetMode="External" /><Relationship Type="http://schemas.openxmlformats.org/officeDocument/2006/relationships/hyperlink" Id="rId41" Target="https://economy.id.com.au/" TargetMode="External" /><Relationship Type="http://schemas.openxmlformats.org/officeDocument/2006/relationships/hyperlink" Id="rId42" Target="https://www.abs.gov.au/statistics/economy/business-indicators/counts-australian-businesses-including-entries-and-exits/latest-release" TargetMode="External" /><Relationship Type="http://schemas.openxmlformats.org/officeDocument/2006/relationships/hyperlink" Id="rId45" Target="https://www.abs.gov.au/statistics/labour/earnings-and-working-conditions/personal-income-australia/latest-release#data-downloads" TargetMode="External" /><Relationship Type="http://schemas.openxmlformats.org/officeDocument/2006/relationships/hyperlink" Id="rId44" Target="https://www.abs.gov.au/statistics/labour/employment-and-unemployment/labour-force-australia-detailed/latest-release" TargetMode="External" /><Relationship Type="http://schemas.openxmlformats.org/officeDocument/2006/relationships/hyperlink" Id="rId38" Target="https://www.abs.gov.au/statistics/people/housing/estimating-homelessness-census/latest-release#data-downloads" TargetMode="External" /><Relationship Type="http://schemas.openxmlformats.org/officeDocument/2006/relationships/hyperlink" Id="rId40" Target="https://www.abs.gov.au/statistics/people/people-and-communities/socio-economic-indexes-areas-seifa-australia/latest-release#data-downloads" TargetMode="External" /><Relationship Type="http://schemas.openxmlformats.org/officeDocument/2006/relationships/hyperlink" Id="rId43" Target="https://www.abs.gov.au/statistics/people/population/regional-population-age-and-sex/latest-release#data-downloads" TargetMode="External" /><Relationship Type="http://schemas.openxmlformats.org/officeDocument/2006/relationships/hyperlink" Id="rId36" Target="https://www.abs.gov.au/statistics/people/population/regional-population/latest-release#data-downloads" TargetMode="External" /><Relationship Type="http://schemas.openxmlformats.org/officeDocument/2006/relationships/hyperlink" Id="rId39" Target="https://www.nationalskillscommission.gov.au/topics/small-area-labour-markets#UpdatedLGAstructure" TargetMode="External" /></Relationships>
</file>

<file path=word/_rels/footnotes.xml.rels><?xml version="1.0" encoding="UTF-8"?><Relationships xmlns="http://schemas.openxmlformats.org/package/2006/relationships"><Relationship Type="http://schemas.openxmlformats.org/officeDocument/2006/relationships/hyperlink" Id="rId37" Target="https://data.gov.au/dataset/ds-dga-cff2ae8a-55e4-47db-a66d-e177fe0ac6a0/details" TargetMode="External" /><Relationship Type="http://schemas.openxmlformats.org/officeDocument/2006/relationships/hyperlink" Id="rId41" Target="https://economy.id.com.au/" TargetMode="External" /><Relationship Type="http://schemas.openxmlformats.org/officeDocument/2006/relationships/hyperlink" Id="rId42" Target="https://www.abs.gov.au/statistics/economy/business-indicators/counts-australian-businesses-including-entries-and-exits/latest-release" TargetMode="External" /><Relationship Type="http://schemas.openxmlformats.org/officeDocument/2006/relationships/hyperlink" Id="rId45" Target="https://www.abs.gov.au/statistics/labour/earnings-and-working-conditions/personal-income-australia/latest-release#data-downloads" TargetMode="External" /><Relationship Type="http://schemas.openxmlformats.org/officeDocument/2006/relationships/hyperlink" Id="rId44" Target="https://www.abs.gov.au/statistics/labour/employment-and-unemployment/labour-force-australia-detailed/latest-release" TargetMode="External" /><Relationship Type="http://schemas.openxmlformats.org/officeDocument/2006/relationships/hyperlink" Id="rId38" Target="https://www.abs.gov.au/statistics/people/housing/estimating-homelessness-census/latest-release#data-downloads" TargetMode="External" /><Relationship Type="http://schemas.openxmlformats.org/officeDocument/2006/relationships/hyperlink" Id="rId40" Target="https://www.abs.gov.au/statistics/people/people-and-communities/socio-economic-indexes-areas-seifa-australia/latest-release#data-downloads" TargetMode="External" /><Relationship Type="http://schemas.openxmlformats.org/officeDocument/2006/relationships/hyperlink" Id="rId43" Target="https://www.abs.gov.au/statistics/people/population/regional-population-age-and-sex/latest-release#data-downloads" TargetMode="External" /><Relationship Type="http://schemas.openxmlformats.org/officeDocument/2006/relationships/hyperlink" Id="rId36" Target="https://www.abs.gov.au/statistics/people/population/regional-population/latest-release#data-downloads" TargetMode="External" /><Relationship Type="http://schemas.openxmlformats.org/officeDocument/2006/relationships/hyperlink" Id="rId39" Target="https://www.nationalskillscommission.gov.au/topics/small-area-labour-markets#UpdatedLGAstructure" TargetMode="External"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MC14515\Downloads\NEMA_ONE-PAGE-PORTRAIT_A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NEMA_ONE-PAGE-PORTRAIT_A4</Template>
  <TotalTime>19</TotalTime>
  <Pages>1</Pages>
  <Words>27</Words>
  <Characters>157</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Department of the Prime Minister and Cabinet</Company>
  <LinksUpToDate>false</LinksUpToDate>
  <CharactersWithSpaces>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2024-09-03T09:19:58Z</dcterms:created>
  <dcterms:modified xsi:type="dcterms:W3CDTF">2024-09-03T09:19:58Z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utput">
    <vt:lpwstr/>
  </property>
  <property fmtid="{D5CDD505-2E9C-101B-9397-08002B2CF9AE}" pid="3" name="params">
    <vt:lpwstr/>
  </property>
</Properties>
</file>