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2" w:name="cessnock-profile"/>
    <w:p>
      <w:pPr>
        <w:pStyle w:val="Heading1"/>
      </w:pPr>
      <w:r>
        <w:t xml:space="preserve">Cessnock Profile</w:t>
      </w:r>
    </w:p>
    <w:p>
      <w:pPr>
        <w:pStyle w:val="FirstParagraph"/>
      </w:pPr>
      <w:r>
        <w:t xml:space="preserve">Report generated on 03 September 2024.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1,965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65,780          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Cessnock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37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41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27,878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193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5.2%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p>
      <w:pPr>
        <w:pStyle w:val="FirstParagraph"/>
      </w:pPr>
      <w:r>
        <w:t xml:space="preserve">The percentage (%) in this table represents the proportion of the population currently receiving support payments.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Cessnock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New South Wales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 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11%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9%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7.7%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5%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4.7%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 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3.8%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$49,744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$3,323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32,939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364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Accommodation and Food Services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3,517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272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3,381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269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2,446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Accommodation and Food Services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201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2,314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189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2,189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3,277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3,367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33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2021.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1092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1092 - Cessnock NSW Bushfires (14 December onwards)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Bushfire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1090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1090 - Lower Hunter NSW Bushfires (20 September to 9 October 2023)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Bushfire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1025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1025 - NSW Severe Weather and Flooding (27 June 2022 onwards)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1012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1012 - NSW Severe Weather and Flooding (22 February 2022 onwards)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ABCD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</w:tbl>
    <w:bookmarkStart w:id="32" w:name="section-5"/>
    <w:p>
      <w:pPr>
        <w:pStyle w:val="Heading5"/>
      </w:pPr>
    </w:p>
    <w:bookmarkEnd w:id="32"/>
    <w:bookmarkEnd w:id="33"/>
    <w:bookmarkStart w:id="37" w:name="disaster-history-cumulative-payment"/>
    <w:p>
      <w:pPr>
        <w:pStyle w:val="Heading2"/>
      </w:pPr>
      <w:r>
        <w:t xml:space="preserve">Disaster History Cumulative Payment</w:t>
      </w:r>
    </w:p>
    <w:p>
      <w:pPr>
        <w:pStyle w:val="FirstParagraph"/>
      </w:pPr>
      <w:r>
        <w:t xml:space="preserve">The following payments have been made based on disaster events occurring in since 01 July 2021.</w:t>
      </w:r>
      <w:r>
        <w:t xml:space="preserve"> </w:t>
      </w:r>
      <w:r>
        <w:t xml:space="preserve">For a break down of disaster history payment please visit</w:t>
      </w:r>
      <w:r>
        <w:t xml:space="preserve"> </w:t>
      </w:r>
      <w:hyperlink r:id="rId34">
        <w:r>
          <w:rPr>
            <w:rStyle w:val="Hyperlink"/>
          </w:rPr>
          <w:t xml:space="preserve">Data.gov.au</w:t>
        </w:r>
      </w:hyperlink>
    </w:p>
    <w:p>
      <w:pPr>
        <w:pStyle w:val="BodyText"/>
      </w:pPr>
      <w:r>
        <w:t xml:space="preserve">Note – some AGDRP/DRA payment information is aggregated from suburb level to LGA. As such there may be duplication of records as the boundaries of some suburbs may overlap two or more LGAs.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1739"/>
        <w:gridCol w:w="1739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Payment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Received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($)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Landholder grants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200,000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relief grants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-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200,000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Australian Government Disaster Recovery Payments (AGDRP)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25,125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48,479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29,415,700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Small business grants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329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1,614,107</w:t>
            </w:r>
          </w:p>
        </w:tc>
      </w:tr>
      <w:tr>
        <w:trPr>
          <w:trHeight w:val="360" w:hRule="auto"/>
        </w:trPr>
        body5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allowance (DRA)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344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1,463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1,321,246</w:t>
            </w:r>
          </w:p>
        </w:tc>
      </w:tr>
      <w:tr>
        <w:trPr>
          <w:trHeight w:val="360" w:hRule="auto"/>
        </w:trPr>
        body6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Primary producer grants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1,030,304</w:t>
            </w:r>
          </w:p>
        </w:tc>
      </w:tr>
      <w:tr>
        <w:trPr>
          <w:trHeight w:val="360" w:hRule="auto"/>
        </w:trPr>
        body7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Supplementary - Australian Government Disaster Recovery Payments (AGDRP)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-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  <w:tr>
        <w:trPr>
          <w:trHeight w:val="360" w:hRule="auto"/>
        </w:trPr>
        body8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Top-Up - Disaster recovery allowance (DRA)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-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  <w:tr>
        <w:trPr>
          <w:trHeight w:val="360" w:hRule="auto"/>
        </w:trPr>
        body9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Concessional loans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</w:tbl>
    <w:bookmarkStart w:id="35" w:name="section-6"/>
    <w:p>
      <w:pPr>
        <w:pStyle w:val="Heading5"/>
      </w:pPr>
    </w:p>
    <w:bookmarkEnd w:id="35"/>
    <w:bookmarkStart w:id="36" w:name="section-7"/>
    <w:p>
      <w:pPr>
        <w:pStyle w:val="Heading5"/>
      </w:pPr>
    </w:p>
    <w:bookmarkEnd w:id="36"/>
    <w:bookmarkEnd w:id="37"/>
    <w:bookmarkStart w:id="51" w:name="emergency-response-fund-erf"/>
    <w:p>
      <w:pPr>
        <w:pStyle w:val="Heading2"/>
      </w:pPr>
      <w:r>
        <w:t xml:space="preserve">Emergency Response Fund (ERF)</w:t>
      </w:r>
    </w:p>
    <w:p>
      <w:pPr>
        <w:pStyle w:val="FirstParagraph"/>
      </w:pPr>
      <w:r>
        <w:t xml:space="preserve">The Emergency Response Fund is an investment fund to maximise the Commonwealth’s capacity to support states and territories responses to major natural disasters into the future.</w:t>
      </w:r>
    </w:p>
    <w:p>
      <w:pPr>
        <w:pStyle w:val="BodyText"/>
      </w:pPr>
      <w:r>
        <w:t xml:space="preserve">*Some program costs are shared amongst multiple LGAs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518"/>
        <w:gridCol w:w="1739"/>
        <w:gridCol w:w="217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Program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Number of Programs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Commonwealth agreed funding*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 Recovery and Resilience Program - New South Wales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75,000,000</w:t>
            </w:r>
          </w:p>
        </w:tc>
      </w:tr>
      <w:tr>
        <w:trPr>
          <w:trHeight w:val="360" w:hRule="auto"/>
        </w:trPr>
        body2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National Flood Mitigation Infrastructure Program - Round 1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2,440,000</w:t>
            </w:r>
          </w:p>
        </w:tc>
      </w:tr>
    </w:tbl>
    <w:bookmarkStart w:id="38" w:name="section-8"/>
    <w:p>
      <w:pPr>
        <w:pStyle w:val="Heading5"/>
      </w:pPr>
    </w:p>
    <w:bookmarkEnd w:id="38"/>
    <w:bookmarkStart w:id="39" w:name="section-9"/>
    <w:p>
      <w:pPr>
        <w:pStyle w:val="Heading5"/>
      </w:pPr>
    </w:p>
    <w:p>
      <w:r>
        <w:br w:type="page"/>
      </w:r>
    </w:p>
    <w:bookmarkEnd w:id="39"/>
    <w:bookmarkStart w:id="50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9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50"/>
    <w:bookmarkEnd w:id="51"/>
    <w:bookmarkEnd w:id="52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1" Target="https://data.gov.au/dataset/ds-dga-cff2ae8a-55e4-47db-a66d-e177fe0ac6a0/details" TargetMode="External" /><Relationship Type="http://schemas.openxmlformats.org/officeDocument/2006/relationships/hyperlink" Id="rId45" Target="https://economy.id.com.au/" TargetMode="External" /><Relationship Type="http://schemas.openxmlformats.org/officeDocument/2006/relationships/hyperlink" Id="rId46" Target="https://www.abs.gov.au/statistics/economy/business-indicators/counts-australian-businesses-including-entries-and-exits/latest-release" TargetMode="External" /><Relationship Type="http://schemas.openxmlformats.org/officeDocument/2006/relationships/hyperlink" Id="rId49" Target="https://www.abs.gov.au/statistics/labour/earnings-and-working-conditions/personal-income-australia/latest-release#data-downloads" TargetMode="External" /><Relationship Type="http://schemas.openxmlformats.org/officeDocument/2006/relationships/hyperlink" Id="rId48" Target="https://www.abs.gov.au/statistics/labour/employment-and-unemployment/labour-force-australia-detailed/latest-release" TargetMode="External" /><Relationship Type="http://schemas.openxmlformats.org/officeDocument/2006/relationships/hyperlink" Id="rId42" Target="https://www.abs.gov.au/statistics/people/housing/estimating-homelessness-census/latest-release#data-downloads" TargetMode="External" /><Relationship Type="http://schemas.openxmlformats.org/officeDocument/2006/relationships/hyperlink" Id="rId44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7" Target="https://www.abs.gov.au/statistics/people/population/regional-population-age-and-sex/latest-release#data-downloads" TargetMode="External" /><Relationship Type="http://schemas.openxmlformats.org/officeDocument/2006/relationships/hyperlink" Id="rId40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3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1" Target="https://data.gov.au/dataset/ds-dga-cff2ae8a-55e4-47db-a66d-e177fe0ac6a0/details" TargetMode="External" /><Relationship Type="http://schemas.openxmlformats.org/officeDocument/2006/relationships/hyperlink" Id="rId45" Target="https://economy.id.com.au/" TargetMode="External" /><Relationship Type="http://schemas.openxmlformats.org/officeDocument/2006/relationships/hyperlink" Id="rId46" Target="https://www.abs.gov.au/statistics/economy/business-indicators/counts-australian-businesses-including-entries-and-exits/latest-release" TargetMode="External" /><Relationship Type="http://schemas.openxmlformats.org/officeDocument/2006/relationships/hyperlink" Id="rId49" Target="https://www.abs.gov.au/statistics/labour/earnings-and-working-conditions/personal-income-australia/latest-release#data-downloads" TargetMode="External" /><Relationship Type="http://schemas.openxmlformats.org/officeDocument/2006/relationships/hyperlink" Id="rId48" Target="https://www.abs.gov.au/statistics/labour/employment-and-unemployment/labour-force-australia-detailed/latest-release" TargetMode="External" /><Relationship Type="http://schemas.openxmlformats.org/officeDocument/2006/relationships/hyperlink" Id="rId42" Target="https://www.abs.gov.au/statistics/people/housing/estimating-homelessness-census/latest-release#data-downloads" TargetMode="External" /><Relationship Type="http://schemas.openxmlformats.org/officeDocument/2006/relationships/hyperlink" Id="rId44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7" Target="https://www.abs.gov.au/statistics/people/population/regional-population-age-and-sex/latest-release#data-downloads" TargetMode="External" /><Relationship Type="http://schemas.openxmlformats.org/officeDocument/2006/relationships/hyperlink" Id="rId40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3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2024-09-03T08:53:07Z</dcterms:created>
  <dcterms:modified xsi:type="dcterms:W3CDTF">2024-09-03T08:53:07Z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